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Disit/SRRF06 nº 6007, de 25 de março de 2019</w:t>
      </w:r>
    </w:p>
    <w:p>
      <w:r>
        <w:t xml:space="preserve">Assunto: Imposto sobre a Renda Retido na Fonte - IRRF </w:t>
      </w:r>
      <w:r>
        <w:t xml:space="preserve">PRECATÓRIO. CESSÃO DE CRÉDITO. NATUREZA JURÍDICA. </w:t>
      </w:r>
      <w:r>
        <w:t xml:space="preserve">O crédito líquido e certo, decorrente de ação judicial e materializado por meio de precatório, mantém a natureza jurídica do fato que lhe deu origem, mesmo quando transferido a outrem com base em cessão do direito de crédito. </w:t>
      </w:r>
      <w:r>
        <w:t xml:space="preserve">PRECATÓRIO. CESSÃO DE CRÉDITO. TRIBUTAÇÃO NA FONTE. </w:t>
      </w:r>
      <w:r>
        <w:t xml:space="preserve">O acordo de cessão de direitos não afasta a tributação na fonte dos rendimentos tributáveis relativos ao precatório, no momento em for quitado pela Fazenda Pública, devendo tais rendimentos ser tributados em sua totalidade (como se não houvesse cessão). </w:t>
      </w:r>
      <w:r>
        <w:t xml:space="preserve">FONTE PAGADORA. DIRF. BENEFICIÁRIO. </w:t>
      </w:r>
      <w:r>
        <w:t xml:space="preserve">A fonte pagadora deve informar na Declaração do Imposto sobre a Renda Retido na Fonte (DIRF) como beneficiário o cedente, assim considerado o titular original do crédito judicial. RRA. FONTE PAGADORA. RETENÇÃO. </w:t>
      </w:r>
      <w:r>
        <w:t xml:space="preserve">Tratando-se de rendimentos recebidos acumuladamente (RRA), a retenção na fonte deve se dar na forma do que dispõem os arts. 12-A ou 12-B da Lei nº 7.713, de 1988, quando forem correspondentes a anos-calendário anteriores ao do recebimento ou ao ano-calendário em curso, respectivamente. </w:t>
      </w:r>
      <w:r>
        <w:t xml:space="preserve">RRA. ANOS-CALENDÁRIO ANTERIORES. FONTE PAGADORA. RETENÇÃO. TABELA PROGRESSIVA. NÚMERO DE MESES. </w:t>
      </w:r>
      <w:r>
        <w:t xml:space="preserve">No caso de RRA correspondentes a anos-calendário anteriores ao do recebimento (art. 12-A da Lei nº 7.713, de 1988), a fonte pagadora deve efetuar a retenção e o recolhimento do IRRF com base na tabela progressiva resultante da multiplicação da quantidade total de meses a que se referem os rendimentos pelos valores constantes da tabela progressiva mensal correspondente ao mês do recebimento ou crédito. </w:t>
      </w:r>
      <w:r>
        <w:t xml:space="preserve">SOLUÇÃO DE CONSULTA VINCULADA ÀS SOLUÇÕES DE CONSULTA COSIT Nº 208, DE 24/4/2017, E Nº 674, DE 27/12/2017. </w:t>
      </w:r>
      <w:r>
        <w:t xml:space="preserve">Dispositivos Legais: Lei nº 7.713/1988, arts. 12-A e 12-B; Lei nº 9.779/1999, art. 16; Lei nº 11.798/2008, arts. 1º, 3º e 5º; Decreto nº 9.003/2017, arts. 1º, 2º e 25; Decreto nº 9.580/2018, Regulamento do Imposto de Renda - RIR/2018, art. 890; Portaria MF nº 430/2017, art. 1º; IN RFB nº 1.396/2013, arts. 9º e 22; IN RFB nº 1.500/2014, arts. 36 e 37; Parecer SRF/Cosit nº 26/2000. </w:t>
      </w:r>
      <w:r>
        <w:t xml:space="preserve">Assunto: Processo Administrativo Fiscal </w:t>
      </w:r>
      <w:r>
        <w:t xml:space="preserve">CONSULTA. INEFICÁCIA PARCIAL. </w:t>
      </w:r>
      <w:r>
        <w:t xml:space="preserve">É ineficaz a consulta na parte que não atende aos requisitos legais exigidos, tratando-se de questionamentos genéricos, que não envolvem interpretação da legislação tributária; em que não se descreve, completa e exatamente, as hipóteses a que se refere; ou se tem por objetivo a prestação de assessoria jurídica ou contábil-fiscal. </w:t>
      </w:r>
      <w:r>
        <w:t>Dispositivos Legais: IN RFB nº 1.396/2013, arts. 1º, 3º, § 2º, incisos III e IV, e 18, incisos I, II, XI e XIV; PN CST nº 342/1970.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Disit/SRRF06 nº 6.007, de 25 de março de 2019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