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100, de 28 de setembro de 2020</w:t>
      </w:r>
    </w:p>
    <w:p>
      <w:r>
        <w:t xml:space="preserve">Assunto: Imposto sobre a Renda de Pessoa Física - IRPF </w:t>
      </w:r>
      <w:r>
        <w:t xml:space="preserve">DESPESAS COMUNS ENTRE PESSOA FÍSICA E JURÍDICA. LIVRO-CAIXA. DEDUTIBILIDADE. </w:t>
      </w:r>
      <w:r>
        <w:t xml:space="preserve">As despesas comuns entre médico, que aufira rendimentos de trabalho não assalariado, e pessoa jurídica, com pluralidade de sócios, que atuem no mesmo endereço podem ser rateadas e escrituradas no livro-caixa da pessoa física, para fins de dedução, desde que sejam despesas de custeio pagas, necessárias à percepção da receita e à manutenção da fonte produtora do médico, e que os critérios de rateio utilizados sejam razoáveis e objetivos, previamente ajustados entre as partes, devendo ser mantida a documentação comprobatória do efetivo dispêndio do médico para apresentar em eventual fiscalização. </w:t>
      </w:r>
      <w:r>
        <w:t xml:space="preserve">Dispositivos Legais: Lei nº 8.134, de 1990, art. 6º, inciso III e § 2º; Decreto nº 9.580, de 2018 - Regulamento do Imposto de Renda, arts. 68 e 69; Instrução Normativa RFB nº 1.500, de 2014, art. 104. </w:t>
      </w:r>
      <w:r>
        <w:t xml:space="preserve">CONSULTA SOBRE DISPOSITIVOS DA LEGISLAÇÃO TRIBUTÁRIA. INEFICÁCIA. </w:t>
      </w:r>
      <w:r>
        <w:t xml:space="preserve">É ineficaz a consulta na parte em que não preencher os requisitos para sua apresentação. </w:t>
      </w:r>
      <w:r>
        <w:t>Dispositivos Legais: Decreto nº 70.235, de 1972, arts. 46 e 52, inciso I; Decreto nº 7.574, de 2011, arts. 88 e 94, inciso I; Instrução Normativa RFB nº 1.396, de 2013, arts. 2º, inciso I, e 18, inciso I.</w:t>
      </w:r>
    </w:p>
    <w:p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100, de 28 de setembro de 2020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