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105, de 7 de abril de 2014</w:t>
      </w:r>
    </w:p>
    <w:p>
      <w:r>
        <w:t>ASSUNTO: Imposto sobre a Renda de Pessoa Física – IRPF EMENTA: DESAPROPRIAÇÃO. INTERESSE PÚBLICO. GANHO DE CAPITAL. NÃO INCIDÊNCIA. RECURSO ESPECIAL Nº 1.116.460/SP. REFORMA A SOLUÇÃO DE CONSULTA Nº 54 – COSIT, DE 30 DE DEZEMBRO DE 2013. O Superior Tribunal de Justiça (STJ), ao julgar o Recurso Especial nº 1.116.460/SP, no âmbito da sistemática do art. 543-C do Código de Processo Civil (CPC), entendeu que a indenização decorrente de desapropriação não encerra ganho de capital, tendo-se em vista que a propriedade é transferida ao Poder Público por valor justo e determinado pela Justiça a título de indenização, não ensejando lucro, mas mera reposição do valor do bem expropriado. Afastou-se, portanto, a incidência do imposto sobre a renda sobre as verbas auferidas a título de indenização advinda de desapropriação, seja por utilidade pública ou por interesse social. Em razão do disposto no art. 19 da Lei nº 10.522, de 2002, na Portaria Conjunta PGFN/RFB nº 1, de 2014, e na Nota PGFN/CRJ nº 1.114, de 2012, a Secretaria da Receita Federal do Brasil (RFB) encontra-se vinculada ao referido entendimento. DISPOSITIVOS LEGAIS: Lei nº 10.522, 19 de julho de 2002 de 2002, art. 19; Portaria Conjunta PGFN/RFB nº 1, de 12 de fevereiro de 2014; Nota PGFN/CRJ nº 1.114, de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105, de 7 de abril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