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116, de 26 de março de 2019</w:t>
      </w:r>
    </w:p>
    <w:p>
      <w:r>
        <w:t xml:space="preserve">Assunto: Imposto sobre a Renda de Pessoa Física - IRPF </w:t>
      </w:r>
      <w:r>
        <w:t xml:space="preserve">RENDIMENTOS DE ALUGUEIS. EXCLUSÕES DA BASE DE CÁLCULO MENSAL. DEDUÇÃO NA DECLARAÇÃO DE AJUSTE ANUAL (DAA). CARNÊ-LEÃO. </w:t>
      </w:r>
      <w:r>
        <w:t xml:space="preserve">O excedente das despesas arcadas pelo locador e enquadradas como passíveis de dedução da base de cálculo do Imposto sobre a Renda de apuração mensal (carnê-leão) podem ser abatidos nos meses subsequentes desde que dentro do mesmo ano-calendário em que as receitas de aluguel do mesmo imóvel tenham sido auferidas. </w:t>
      </w:r>
      <w:r>
        <w:t xml:space="preserve">Não há previsão legal para dedução das despesas com "taxa de manutenção da Associação de Proprietários" da base de cálculo do Imposto sobre a Renda de apuração mensal (carnê-leão). </w:t>
      </w:r>
      <w:r>
        <w:t xml:space="preserve">Dispositivos Legais: Lei nº 7.739, de 16 de março de 1989, art. 14; Instrução Normativa RFB nº 1.500, de 29 de outubro de 2014, art. 30 e 31. </w:t>
      </w:r>
      <w:r>
        <w:t xml:space="preserve">Assunto: Normas Gerais de Direito Tributário </w:t>
      </w:r>
      <w:r>
        <w:t xml:space="preserve">PROCESSO DE CONSULTA. INEFICÁCIA PARCIAL. </w:t>
      </w:r>
      <w:r>
        <w:t xml:space="preserve">É ineficaz a consulta formulada na parte relativa a questionamentos sobre o preenchimento da Declaração de Ajuste Anual (DAA). </w:t>
      </w:r>
      <w:r>
        <w:t>Dispositivos Legais: Decreto nº 70.235, de 6 de março de 1972, art. 52, inciso I, c/c art. 46; Instrução Normativa RFB nº 1.396, de 16 de setembro de 2013, art. 18, incisos I e II.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116, de 26 de março de 2019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