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134, de 14 de setembro de 2021</w:t>
      </w:r>
    </w:p>
    <w:p>
      <w:r>
        <w:t xml:space="preserve">Assunto: Imposto sobre a Renda de Pessoa Física – IRPF </w:t>
      </w:r>
      <w:r>
        <w:t xml:space="preserve">ALIENAÇÃO DE IMÓVEL RESIDENCIAL. GANHO DE CAPITAL. ISENÇÃO. RECOMPRA. </w:t>
      </w:r>
      <w:r>
        <w:t xml:space="preserve">Fica isento do imposto sobre a renda o ganho auferido por pessoa física residente no País na venda de imóveis residenciais, desde que o alienante, no prazo de 180 (cento e oitenta) dias contado da celebração do contrato, aplique o produto da venda na aquisição, em seu nome, de imóveis residenciais localizados no País, ressalvada a hipótese de o alienante ter se beneficiado da isenção nos últimos cinco anos. </w:t>
      </w:r>
      <w:r>
        <w:t xml:space="preserve">Para fins de usufruto da isenção do Imposto sobre a Renda sobre o Ganho de Capital, nos termos do art. 39 da Lei nº 11.196, de 21 de novembro de 2005, o fato de o contribuinte recomprar, o imóvel residencial dentro do prazo de 180 (cento e oitenta) dias não descaracteriza a condição, imposta pela lei, de aplicação do produto da venda de um imóvel residencial na aquisição de imóvel residencial, desde que a recompra seja materializada em documentos hábeis e idôneos. Esse entendimento é aplicável, inclusive, em contrato de compra e venda com cláusula de retrovenda, nos termos do disposto no art. 505 da Lei nº 10.406, de 10 de janeiro de 2002 - Código Civil. </w:t>
      </w:r>
      <w:r>
        <w:t xml:space="preserve">Dispositivos Legais: Lei nº 11.196, de 21 de novembro de 2005, art. 39; Instrução Normativa SRF nº 599, de 28 de dezembro de 2005, art. 2º; e Lei nº 10.406, de 10 de janeiro de 2002 - Código Civil, art. 505. </w:t>
      </w:r>
    </w:p>
    <w:p>
      <w:r>
        <w:t>SC Cosit nº 134-2021</w:t>
      </w:r>
    </w:p>
    <w:p>
      <w:r>
        <w:t xml:space="preserve">FERNANDO MOMBELLI </w:t>
      </w:r>
      <w:r>
        <w:t>Coordenador-Geral da Cosit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134, de 14 de setembro de 2021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