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135, de 1º de dezembro de 2020</w:t>
      </w:r>
    </w:p>
    <w:p>
      <w:r>
        <w:t xml:space="preserve">Assunto: Imposto sobre a Renda de Pessoa Física - IRPF </w:t>
      </w:r>
      <w:r>
        <w:t xml:space="preserve">GANHO DE CAPITAL. ALIENAÇÃO A PRAZO DE BENS E DIREITOS. SUCESSÃO HEREDITÁRIA. PARCELA PAGA APÓS PARTILHA OU ADJUDICAÇÃO. SUCESSOR. OBRIGAÇÃO TRIBUTÁRIA PRINCIPAL. REPRESENTANTE. OBRIGAÇÃO ACESSÓRIA. RECOLHIMENTO EM NOME DO DE CUJUS. </w:t>
      </w:r>
      <w:r>
        <w:t xml:space="preserve">Cabe ao sucessor, na qualidade de sujeito passivo responsável tributário, o pagamento do imposto sobre a renda da pessoa física incidente sobre o ganho de capital referente à parcela recebida, após a realização da partilha, em alienação a prazo efetuada pelo de cujus, em nome do qual deverá ser pago. </w:t>
      </w:r>
      <w:r>
        <w:t xml:space="preserve">O imposto devido relativo a cada parcela recebida deve ser pago até o último dia útil do mês subsequente ao do recebimento. </w:t>
      </w:r>
      <w:r>
        <w:t xml:space="preserve">Dispositivos Legais: Lei nº 5.172, de 25 de outubro de 1966, arts. 43, 113, 114, 121, 128, 129 e 131; Regulamento do Imposto sobre a Renda (RIR/2018), arts. 1º, 2º, 21, 128 e 151, aprovado pelo Decreto nº 9.580, de 22 de novembro de 2018. </w:t>
      </w:r>
      <w:r>
        <w:t xml:space="preserve">Assunto: Processo Administrativo Fiscal </w:t>
      </w:r>
      <w:r>
        <w:t xml:space="preserve">CONSULTA TRIBUTÁRIA. INEFICÁCIA PARCIAL. </w:t>
      </w:r>
      <w:r>
        <w:t xml:space="preserve">É ineficaz a consulta apresentada sem a identificação da questão interpretativa que tenha obstado a aplicação, pelo consulente, de normas da legislação tributária; ou sem a identificação do específico dispositivo da legislação tributária sobre cuja aplicação haja dúvida. </w:t>
      </w:r>
      <w:r>
        <w:t>Dispositivos Legais: Decreto nº 7.574, de 29 de setembro de 2011, arts. 88 e 94; Instrução Normativa RFB nº 1.396, de 16 de setembro de 2013, arts. 1º, 3º e 18, incisos I, II, XI e XIV; Parecer Normativo CST nº 342, de 7 de outubro de 1970.</w:t>
      </w:r>
    </w:p>
    <w:p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135, de 1º de dezembro de 2020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