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138, de 8 de dezembro de 2020</w:t>
      </w:r>
    </w:p>
    <w:p>
      <w:r>
        <w:t xml:space="preserve">Assunto: Imposto sobre a Renda de Pessoa Física - IRPF </w:t>
      </w:r>
      <w:r>
        <w:t xml:space="preserve">PREVIDÊNCIA PRIVADA - PGBL. PORTADOR DE NEOPLASIA MALIGNA. BENEFÍCIO. ISENÇÃO. RESGATE. </w:t>
      </w:r>
      <w:r>
        <w:t xml:space="preserve">Em razão do disposto nos arts. 19, inciso V, e 19-A, inciso III, da Lei nº 10.522, de 2002, e no Parecer SEI nº 110/2018/CRJ/PGACET/PGFN-MF, aprovado pelo Despacho nº 348/2020/PGFN-ME, a isenção do imposto sobre a renda, prevista no art. 6º, inciso XIV, da Lei nº 7.713, de 1988, e no art. 35, § 4º, inciso III, do Regulamento do Imposto sobre a Renda de 2018, instituída em benefício do portador de moléstia grave estende-se ao resgate das contribuições vertidas a plano de previdência complementar. </w:t>
      </w:r>
      <w:r>
        <w:t xml:space="preserve">Dispositivos Legais: Lei nº 7.713, de 1988, art. 6º, inciso XIV; Lei nº 10.522, de 2002, arts. 19, inciso V, e 19-A, inciso III; Regulamento do Imposto sobre a Renda (RIR/2018), aprovado pelo Decreto nº 9.580, de 2018, art. 35, § 4º, inciso III. </w:t>
      </w:r>
      <w:r>
        <w:t xml:space="preserve">Assunto: Processo Administrativo Fiscal </w:t>
      </w:r>
      <w:r>
        <w:t xml:space="preserve">CONSULTA SOBRE A INTERPRETAÇÃO DA LEGISLAÇÃO TRIBUTÁRIA. </w:t>
      </w:r>
      <w:r>
        <w:t xml:space="preserve">Não produz efeitos a consulta quando o fato estiver definido ou declarado em disposição literal de lei. </w:t>
      </w:r>
      <w:r>
        <w:t>Dispositivos Legais: Decreto nº 70.235, de 1972, art. 52, inciso VI; Instrução Normativa RFB nº 1.396, de 2013, art. 18, inciso IX.</w:t>
      </w:r>
    </w:p>
    <w:p>
      <w:r>
        <w:t xml:space="preserve">FERNANDO MOMBELLI </w:t>
      </w:r>
      <w:r>
        <w:t>Coordenador-Geral</w:t>
      </w:r>
    </w:p>
    <w:p>
      <w:r>
        <w:t>SC Cosit nº 138-2020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138, de 8 de dezembro de 2020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