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142, de 21 de setembro de 2021</w:t>
      </w:r>
    </w:p>
    <w:p>
      <w:r>
        <w:t xml:space="preserve">Assunto: Imposto sobre a Renda Retido na Fonte – IRRF </w:t>
      </w:r>
      <w:r>
        <w:t xml:space="preserve">HERANÇA. PARCELA DE BEM. AQUISIÇÃO. </w:t>
      </w:r>
      <w:r>
        <w:t xml:space="preserve">Não há incidência do IRRF sobre o pagamento realizado a herdeiro residente no País pela aquisição de direito à parcela de bem que lhe cabia em decorrência de herança. Haverá incidência do imposto se o herdeiro for não residente. </w:t>
      </w:r>
      <w:r>
        <w:t>Dispositivos Legais: arts. 35, VII, "c", 128, § 4º, 680 e 741 do Regulamento do Imposto de Renda (RIR/2018), aprovado pelo art. 1º do Decreto nº 9.580, de 22 de novembro de 2018; e art. 1.784, da Lei nº 10.406, de 10 de janeiro de 2002, Código Civil (CC/2002).</w:t>
      </w:r>
    </w:p>
    <w:p>
      <w:r>
        <w:t>SC Cosit nº 142-2021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142, de 21 de setembro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