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152, de 26 de setembro de 2018</w:t>
      </w:r>
    </w:p>
    <w:p>
      <w:r>
        <w:t>ASSUNTO: CONTRIBUIÇÕES SOCIAIS PREVIDENCIÁRIAS EMENTA: AUXÍLIO-CRECHE. O Ato Declaratório PGFN nº 13/2011 impede a constituição de crédito tributário de contribuição previdenciária (inclusive patronal) relativamente aos pagamentos efetuados a título de auxílio-creche a trabalhadores com filhos até o limite de cinco anos de idade, quando devidamente comprovadas as despesas realizadas, porém, atendidos os requisitos legais de não integração do salário-de-contribuição previstos no art. 28, § 9º, alínea “s”, da Lei nº 8.212, de 24 de julho de 1991, não incidem contribuições previdenciárias sobre verbas pagas a trabalhadores com filhos até o limite de seis anos de idade; AUXÍLIO-BABÁ. Comprovadas as despesas realizadas, não integrarão o salário-de-contribuição e a base de cálculo da contribuição da empresa, para fins de custeio previdenciário, os pagamentos efetuados a título de auxílio-babá a trabalhadores com filhos até o limite de seis anos de idade, limitado ao menor salário-de-contribuição mensal e desde que evidenciado o registro do pagamento da remuneração e do recolhimento da contribuição previdenciária na carteira de trabalho da empregada. Dispositivos Legais: Lei nº 10.522, de 19 de julho de 2002, art. 19, inciso II, § 4º; Ato Declaratório PGFN nº 13, de 20 de dezembro de 2011; Ato Declaratório PGFN nº 1, de 2 de janeiro de 2014; Lei nº 8.212, de 24 de julho de 1991, art. 28, § 9º, alínea “s”; Decreto nº 3.048, de 6 de maio de 1999, art. 214, § 9º, incisos XXIII e XXIV; e Instrução Normativa RFB nº 971, de 13 de novembro de 2009, art. 58, incisos XXII e XXIII. ASSUNTO: IMPOSTO SOBRE A RENDA RETIDO NA FONTE - IRRF EMENTA: AUXÍLIO-CRECHE E AUXÍLIO-BABÁ. A RFB não constituirá crédito tributário de imposto sobre a renda de pessoa física relativamente a pagamentos efetuados a título de auxílio-creche e auxílio-babá a trabalhadores com filhos até o limite de cinco anos de idade, quando devidamente comprovadas as despesas realizadas. Dispositivos Legais: Lei nº 10.522, de 19 de julho de 2002, art. 19, II, § 4º; Ato Declaratório PGFN nº 13, de 20 de dezembro de 2011; e Ato Declaratório PGFN nº 1, de 2 de janeiro de 2014. ASSUNTO: NORMAS GERAIS DE DIREITO TRIBUTÁRIO EMENTA: Não produz efeitos a consulta formulada que não se refira a dúvida de interpretação da legislação tributária federal. Dispositivos Legais: Instrução Normativa RFB nº 1.396, de 16 de setembro de 2013, art. 1º.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152, de 26 de setembro de 2018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