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153, de 11 de junho de 2014</w:t>
      </w:r>
    </w:p>
    <w:p>
      <w:r>
        <w:t>ASSUNTO: IMPOSTO SOBRE A RENDA DE PESSOA FÍSICA – IRPF EMENTA: PRECATÓRIO. CESSÃO DE DIREITO. GANHO DE CAPITAL. INCIDÊNCIA. A cessão de direitos representados por créditos líquidos e certos contra a Fazenda Pública (precatório) está sujeita à apuração de ganho de capital, sobre o qual incidirá imposto de renda na forma da legislação pertinente à matéria. Nesse caso, a tributação ocorre em separado, não integrando a base de cálculo do imposto na declaração de rendimentos. O valor de alienação será o montante recebido pelo cedente do cessionário e o custo de aquisição na cessão original será igual a zero, apurando-se o ganho de capital pela diferença entre esses dois valores. DISPOSITIVOS LEGAIS: Lei n.º 7.713, de 1988, artigos 1º a 3º e 16; Lei n.º 8.134, 27 de dezembro de 1990, artigos 2º e 18; Lei n.º 8.383, de 30 de dezembro 1991, artigos 12 e 52; Lei n.º 8.981, de 20 de janeiro de 1995, artigo 21; e Lei n.º 8.850, de 28 de janeiro de 1994, artigo 2º.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153, de 11 de junho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