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157, de 24 de setembro de 2021</w:t>
      </w:r>
    </w:p>
    <w:p>
      <w:r>
        <w:t xml:space="preserve">Assunto: Imposto sobre a Renda Retido na Fonte – IRRF </w:t>
      </w:r>
      <w:r>
        <w:t xml:space="preserve">RENDIMENTOS DO TRABALHO. AUXÍLIO PARA CUSTEIO DE DESPESAS NECESSÁRIAS PARA O EXERCÍCIO DE CARGO, FUNÇÃO OU EMPREGO. </w:t>
      </w:r>
      <w:r>
        <w:t xml:space="preserve">As importâncias pagas pela pessoa jurídica a membros de seu Conselho Deliberativo com a finalidade de ressarcir despesas de deslocamento necessárias para o exercício da atividade, constituídas de quantias fixas mensais, sem exigência de prestação de contas, sujeitam-se à incidência do imposto sobre a renda na fonte, mediante a aplicação da tabela progressiva mensal, e na Declaração de Ajuste Anual. </w:t>
      </w:r>
      <w:r>
        <w:t xml:space="preserve">Dispositivos Legais: Lei nº 5.172, de 25 de outubro de 1966 - Código Tributário Nacional (CTN), arts. 43, 113, § 1º, e 114; Lei nº 7.713, de 22 de dezembro de 1988, arts. 2º, 3º, § 1º, e 7º; Lei nº 9.250, de 26 de dezembro de 1995, arts. 7º, caput, e 8º, inciso I; Lei nº 11.482, de 31 de maio de 2007, art. 1º; Regulamento do Imposto sobre a Renda (RIR/2018), aprovado pelo Decreto nº 9.580, de 22 de novembro de 2018, arts. 33, 34, 35, 677, 681 e 685 e 775. </w:t>
      </w:r>
      <w:r>
        <w:t xml:space="preserve">Assunto: Processo Administrativo Fiscal </w:t>
      </w:r>
      <w:r>
        <w:t xml:space="preserve">CONSULTA SOBRE INTERPRETAÇÃO DA LEGISLAÇÃO TRIBUTÁRIA </w:t>
      </w:r>
      <w:r>
        <w:t xml:space="preserve">Não produz efeitos a consulta quando versar sobre fato definido ou declarado em disposição literal de lei e disciplinado em ato normativo, publicado antes de sua apresentação. </w:t>
      </w:r>
      <w:r>
        <w:t>Dispositivos Legais: Decreto nº 70.235, de 6 de março de 1972, art. 52, incisos V e VI; Decreto nº 7.574, de 29 de setembro de 2011, art. 94, incisos V e VI; Instrução Normativa RFB nº 1.396, de 16 de setembro de 2013, art. 18, incisos VII e IX.</w:t>
      </w:r>
    </w:p>
    <w:p>
      <w:r>
        <w:t>SC Cosit nº 157-2021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157, de 24 de setembro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