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161, de 7 de agosto de 2023</w:t>
      </w:r>
    </w:p>
    <w:p>
      <w:r>
        <w:t xml:space="preserve">Assunto: Imposto sobre a Renda de Pessoa Física - IRPF </w:t>
      </w:r>
      <w:r>
        <w:t xml:space="preserve">INDENIZAÇÃO POR QUEBRA DE CONTRATO. LUCROS CESSANTES. ACORDO HOMOLOGADO JUDICIALMENTE. VALOR HISTÓRICO. ATUALIZAÇÃO MONETÁRIA. JUROS. INCIDÊNCIA. </w:t>
      </w:r>
      <w:r>
        <w:t xml:space="preserve">É tributável pelo Imposto sobre a Renda das Pessoas Físicas a quantia recebida em decorrência de acordo homologado judicialmente, a título de indenização por quebra de contrato, bem como os valores da atualização monetária por índice oficial e dos juros compensatórios ou moratórios, relativos à referida indenização. </w:t>
      </w:r>
      <w:r>
        <w:t xml:space="preserve">SOLUÇÃO DE CONSULTA PARCIALMENTE VINCULADA À SOLUÇÃO DE CONSULTA COSIT Nº 258, DE 24 DE SETEMBRO DE 2019. </w:t>
      </w:r>
      <w:r>
        <w:t>Dispositivos Legais: Lei nº 5.172, de 25 de outubro de 1966 - Código Tributário Nacional (CTN), art. 43; Regulamento do Imposto sobre a Renda - RIR/2018, art. 47, inciso XV, aprovado pelo Decreto nº 9.580, 22 de novembro de 2018; e Instrução Normativa RFB nº 1.500, de 29 de outubro de 2014, arts. 7º, inciso IV, e 62, § 3º, inciso II, alínea 'a' .</w:t>
      </w:r>
    </w:p>
    <w:p>
      <w:r>
        <w:t>SC Cosit nº 161-2023</w:t>
      </w:r>
    </w:p>
    <w:p>
      <w:r>
        <w:t xml:space="preserve">RODRIGO AUGUSTO VERLY DE OLIVEIRA </w:t>
      </w:r>
      <w:r>
        <w:t>Coordenador-Geral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161, de 7 de agosto de 2023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