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164, de 26 de setembro de 2018</w:t>
      </w:r>
    </w:p>
    <w:p>
      <w:r>
        <w:t>ASSUNTO: IMPOSTO SOBRE A RENDA DE PESSOA FÍSICA - IRPF EMENTA Despesas com locomoção e transporte somente poderão ser escrituradas no livro-caixa se efetuadas por representante comercial autônomo, quando o ônus tenha sido deste. A regulamentação das atividades dos representantes comerciais autônomos é estabelecida pela Lei nº 4.886, de 9 de dezembro de 1965. Dispositivos Legais: Decreto nº 3.000, de 26 de março de 1999 - Regulamento do Imposto sobre a Renda (RIR/1999), art. 75, inciso III, parágrafo único, inciso II; e Instrução Normativa RFB nº 1.500, de 29 de outubro de 2014, art. 104, incisos I a III, e § 1º, inciso II. ASSUNTO: PROCESSO ADMINISTRATIVO FISCAL EMENTA: Consulta. Ineficácia Parcial. É ineficaz a consulta quando tiver por objeto a prestação de assessoria jurídica ou contábil-fiscal pela Secretaria da Receita Federal do Brasil (RFB). Dispositivos Legais: Instrução Normativa RFB nº 1.396, de 16 de setembro de 2013, art. 18, inciso XIV.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164, de 26 de setembro de 2018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