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166, de 7 de agosto de 2023</w:t>
      </w:r>
    </w:p>
    <w:p>
      <w:r>
        <w:t xml:space="preserve">Assunto: Imposto sobre a Renda de Pessoa Física - IRPF </w:t>
      </w:r>
      <w:r>
        <w:t xml:space="preserve">GANHO DE CAPITAL. IMÓVEIS RESIDENCIAIS. ISENÇÃO. </w:t>
      </w:r>
      <w:r>
        <w:t xml:space="preserve">O ganho de capital decorrente da venda de apenas um imóvel residencial do contribuinte pessoa física é alcançado pela isenção aplicável a imóveis residenciais, obedecidas às condições previstas na Lei nº 11.196, de 21 de novembro de 2005, e IN SRF nº 599, de 28 de dezembro de 2005. Em caso de aquisição de mais de um imóvel residencial, a isenção se aplica ao ganho de capital correspondente à soma dos valores aplicados nessas aquisições, atendidos os demais requisitos da norma. </w:t>
      </w:r>
      <w:r>
        <w:t>Dispositivos Legais: Lei nº 11.196, de 21 de novembro de 2005, art. 39; Instrução Normativa SRF nº 599, de 28 de dezembro de 2005, art. 2º.</w:t>
      </w:r>
    </w:p>
    <w:p>
      <w:r>
        <w:t>SC Cosit nº 166-2023</w:t>
      </w:r>
    </w:p>
    <w:p>
      <w:r>
        <w:t xml:space="preserve">RODRIGO AUGUSTO VERLY DE OLIVEIRA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166, de 7 de agosto de 2023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