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19, de 4 de novembro de 2013</w:t>
      </w:r>
    </w:p>
    <w:p>
      <w:r>
        <w:t xml:space="preserve">ASSUNTO: IMPOSTO SOBRE A RENDA DE PESSOA FÍSICA. </w:t>
      </w:r>
      <w:r>
        <w:t xml:space="preserve">EMENTA: CONDIÇÃO DE RESIDENTE OU NÃO-RESIDENTE. A condição de residente ou não-residente da pessoa física que se ausenta do Brasil em caráter temporário é a seguinte: nos primeiros doze meses consecutivos de ausência, será considerada como residente no País, tendo os seus rendimentos recebidos no Brasil tributados como os demais residentes; a partir do 13º mês consecutivo de ausência, será considerada como não-residente, tendo os seus rendimentos recebidos no Brasil tributados de forma exclusiva na fonte ou definitiva. Retornando ao País com ânimo definitivo é considerada residente na data da chegada, submetendo-se às normas vigentes na legislação tributária aplicável aos demais residentes no Brasil, inclusive, no tocante à apresentação da Declaração de Ajuste Anual. O empregado de empresa pública ou de sociedade de economia mista, quando a serviço específico da empresa no exterior, bem assim o contratado local de representações diplomáticas, não se enquadra no conceito de ausente no exterior a serviço do Brasil. </w:t>
      </w:r>
      <w:r>
        <w:t>DISPOSITIVOS LEGAIS: Instrução Normativa SRF n° 208, de 27.09.2002, arts. 2º, inciso IV, 3º, inciso V, 6º a 11, 12, parágrafo único e 26 a 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19, de 4 de novembro de 2013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