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208, de 24 de abril de 2017</w:t>
      </w:r>
    </w:p>
    <w:p>
      <w:r>
        <w:t xml:space="preserve">ASSUNTO: IMPOSTO SOBRE A RENDA RETIDO NA FONTE – IRRF </w:t>
      </w:r>
      <w:r>
        <w:t xml:space="preserve">EMENTA: PRECATÓRIO. CESSÃO DE DIREITOS. IMPOSTO SOBRE A RENDA. INCIDÊNCIA. </w:t>
      </w:r>
      <w:r>
        <w:t xml:space="preserve">O acordo de cessão de direitos não pode afastar a tributação na fonte dos rendimentos tributáveis relativos ao precatório no momento em que for quitado pela União, pelos estados, pelo Distrito Federal ou pelos municípios, sendo o cedente o beneficiário de tais rendimentos, devendo assim ser informado na Declaração do Imposto sobre a Renda Retido na Fonte (Dirf) da fonte pagadora, o seu nome e não o do cessionário. </w:t>
      </w:r>
      <w:r>
        <w:t xml:space="preserve">Em função da natureza jurídica do crédito cedido, ocorrerá a incidência de imposto sobre a renda retido na fonte, quando cabível, no momento do pagamento do precatório, considerando-se como tal, quando ocorrer a homologação da compensação do precatório com débitos de natureza tributária do cessionário para com a União, os estados, o Distrito Federal ou os municípios. </w:t>
      </w:r>
      <w:r>
        <w:t xml:space="preserve">SOLUÇÃO DE CONSULTA PARCIALMENTE VINCULADA À SOLUÇÃO DE CONSULTA COSIT Nº 19, DE 25 DE FEVEREIRO DE 2015. </w:t>
      </w:r>
      <w:r>
        <w:t>DISPOSITIVOS LEGAIS: Lei nº 8.981, de 20 de janeiro de 1995, arts. 32 e 37, §§ 1º e 3º, alínea “c”; Lei nº 9.430, de 27 de dezembro de 1996, art. 2º; Lei nº 7.450, de 23 de dezembro de 1985, art. 55; Decreto nº 3.000, de 26 de março de 1999 - Regulamento do Imposto sobre a Renda (RIR/1999), art. 943, § 2º; Instrução Normativa RFB nº 1.300, de 20 de novembro de 2012, art. 11; Parecer Cosit nº 26, de 29 de junho de 2000; Perguntas e Respostas IRPF 2014, Pergunta nº 551.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208, de 24 de abril de 2017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