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211, de 16 de julho de 2024</w:t>
      </w:r>
    </w:p>
    <w:p>
      <w:r>
        <w:t xml:space="preserve">Assunto: Simples Nacional </w:t>
      </w:r>
      <w:r>
        <w:t xml:space="preserve">BASE DE CÁLCULO. CONCEITO DE RECEITA BRUTA. VALORES RECEBIDOS POR TRANSFERÊNCIA DE TITULARIDADE DE NOME DE DOMÍNIO DE WEBSITE EMPRESARIAL. </w:t>
      </w:r>
      <w:r>
        <w:t xml:space="preserve">Os valores recebidos na venda, por empresa, da titularidade do nome do seu domínio de website configuram ganho de capital e não integram a base de cálculo para a determinação do valor dos tributos devidos pela empresa beneficiária optante pelo Simples Nacional, dado que não se amoldam ao conceito de receita bruta definido no § 1º do art. 3º da Lei Complementar nº 123, de 2006. </w:t>
      </w:r>
      <w:r>
        <w:t xml:space="preserve">O ganho de capital auferido por pessoa jurídica optante pelo Simples Nacional na alienação de bens do ativo não circulante está sujeito à incidência de imposto de renda na forma estabelecida pelo art. 21 da Lei nº 8.981, de 1995. </w:t>
      </w:r>
      <w:r>
        <w:t>Dispositivos Legais: Lei Complementar nº 123, de 2006, arts. 3º, "caput" e § 1º, 13, I, § 1º, VI e 18, "caput" e § 3º; Resolução CGSN nº 140, de 22 de maio de 2018, arts. 2º, II, § 4º, § 5º e 16; Lei nº 13.249, de 2016, art. 2º; e Instrução Normativa RFB nº 1.700, de 14 de março de 2017, art. 314.</w:t>
      </w:r>
    </w:p>
    <w:p>
      <w:r>
        <w:t xml:space="preserve">RODRIGO AUGUSTO VERLY DE OLIVEIRA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211, de 16 de julho de 2024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