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214, de 19 de julho de 2024</w:t>
      </w:r>
    </w:p>
    <w:p>
      <w:r>
        <w:t xml:space="preserve">Assunto: Imposto sobre a Renda de Pessoa Física - IRPF </w:t>
      </w:r>
      <w:r>
        <w:t xml:space="preserve">CESSÃO DE DIREITOS SOBRE IMÓVEIS. PAGAMENTO A PRAZO. DESISTÊNCIA. PARCELAS RECEBIDAS. DEVOLUÇÃO. EFEITOS. </w:t>
      </w:r>
      <w:r>
        <w:t xml:space="preserve">A desistência do adquirente, após a celebração do negócio de cessão de direitos sobre imóvel, não tem o condão de afastar a ocorrência do fato gerador da obrigação tributária, materializada na data em que foi firmado o negócio. </w:t>
      </w:r>
      <w:r>
        <w:t xml:space="preserve">Caso seja apurado ganho de capital na operação, o ganho relativo a cada parcela recebida pelo vendedor em razão da cessão de direitos sobre imóvel com pagamento a prazo deve ser oferecido à tributação no momento do recebimento, independentemente de ter havido posterior rescisão do negócio. </w:t>
      </w:r>
      <w:r>
        <w:t xml:space="preserve">Dispositivos Legais: Lei nº 5.172, de 25 de outubro de 1966 - Código Tributário Nacional (CTN), arts. 114, 116, e 117; Lei nº 7.713, de 22 de dezembro de 1988, arts. 2º e 3º; Instrução Normativa SRF nº 84, de 11 de outubro de 2001, art. 31. </w:t>
      </w:r>
      <w:r>
        <w:t xml:space="preserve">Assunto: Processo Administrativo Fiscal </w:t>
      </w:r>
      <w:r>
        <w:t xml:space="preserve">CONSULTA SOBRE A INTERPRETAÇÃO DA LEGISLAÇÃO TRIBUTÁRIA. </w:t>
      </w:r>
      <w:r>
        <w:t xml:space="preserve">Não produz efeitos a consulta que versar sobre fato definido ou declarado em disposição literal de lei, e que versar sobre fato disciplinado em ato normativo publicado antes de sua apresentação. </w:t>
      </w:r>
      <w:r>
        <w:t>Dispositivos Legais: Decreto nº 70.235, de 6 de março de 1972, art. 52, incisos V e VI; Decreto nº 7.574, de 29 setembro de 2011, art. 94, incisos V e VI; Instrução Normativa RFB nº 2.058, de 9 dezembro de 2021, art. 27, incisos VII e IX.</w:t>
      </w:r>
    </w:p>
    <w:p>
      <w:r>
        <w:t xml:space="preserve">RODRIGO AUGUSTO VERLY DE OLIVEIRA </w:t>
      </w:r>
      <w:r>
        <w:t>Coordenador-Geral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214, de 19 de julho de 2024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