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217, de 21 de setembro de 2023</w:t>
      </w:r>
    </w:p>
    <w:p>
      <w:r>
        <w:t xml:space="preserve">Assunto: Obrigações Acessórias </w:t>
      </w:r>
      <w:r>
        <w:t xml:space="preserve">CRIPTOATIVOS. NFT (NON FUNGIBLE TOKEN). PRESTAÇÃO DE INFORMAÇÕES À RFB. </w:t>
      </w:r>
      <w:r>
        <w:t xml:space="preserve">A pessoa jurídica que oferece serviços referentes a operações com non fungible token (NFT), representativo de um imóvel em particular, não está obrigada a prestar as informações relativas a operações com tal NFT, conforme a Instrução Normativa RFB nº 1.888, de 3 de maio de 2019, pelo fato dele não se enquadrar no conceito de criptoativo previsto na referida Instrução Normativa. </w:t>
      </w:r>
      <w:r>
        <w:t xml:space="preserve">DIMOB. EMPRESA QUE INTERMEDEIA A ALIENAÇÃO DE NFT. CONFIRMAÇÃO DE PROPRIEDADE DE NFT PARA FINS DE LOCAÇÃO. </w:t>
      </w:r>
      <w:r>
        <w:t xml:space="preserve">A pessoa jurídica que intermedeia a alienação de NFT, representativo de um imóvel físico em particular, ou que apenas confirma a titularidade de tal NFT, para fins de locação do imóvel que ele representa, e registra essas transações, não está obrigada a apresentar a Declaração de Informações sobre Atividades Imobiliárias (Dimob) por conta dessas atividades. </w:t>
      </w:r>
      <w:r>
        <w:t>Dispositivos Legais: Lei no 9.779, de 19 de janeiro de 1999, art. 16; Instrução Normativa RFB nº 1.115, de 28 de dezembro de 2010, art. 1º, inciso II; Instrução Normativa RFB nº 1.888, de 3 de maio de 2019, art. 5º, inciso I.</w:t>
      </w:r>
    </w:p>
    <w:p>
      <w:r>
        <w:t>SC Cosit nº 217-2023.pdf</w:t>
      </w:r>
    </w:p>
    <w:p>
      <w:r>
        <w:t xml:space="preserve">RODRIGO AUGUSTO VERLY DE OLIVEIRA </w:t>
      </w:r>
      <w:r>
        <w:t>Coordenador-Geral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217, de 21 de setembro de 2023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