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218, de 21 de setembro de 2023</w:t>
      </w:r>
    </w:p>
    <w:p>
      <w:r>
        <w:t xml:space="preserve">Assunto: Obrigações Acessórias </w:t>
      </w:r>
      <w:r>
        <w:t xml:space="preserve">A pessoa jurídica, mesmo não financeira, que disponibiliza plataforma digital em que seus usuários podem realizar transações com utility tokens diretamente entre eles (transações peer to peer), enquadra-se como exchange, restando obrigada a prestar, à Secretaria Especial da Receita Federal do Brasil, as informações sobre as transações com criptoativos próprias e de seus usuários. </w:t>
      </w:r>
      <w:r>
        <w:t xml:space="preserve">A pessoa jurídica que realiza emissão de utility tokens deve prestar as informações acerca dessa operação à RFB. </w:t>
      </w:r>
      <w:r>
        <w:t>Dispositivos Legais: IN RFB nº 1.888, de 2019, arts. 5º e 6º.</w:t>
      </w:r>
    </w:p>
    <w:p>
      <w:r>
        <w:t>SC Cosit nº 218-2023.pdf</w:t>
      </w:r>
    </w:p>
    <w:p>
      <w:r>
        <w:t xml:space="preserve">RODRIGO AUGUSTO VERLY DE OLIVEIRA </w:t>
      </w:r>
      <w:r>
        <w:t>Coordenador-Geral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218, de 21 de setembro de 2023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