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224, de 14 de agosto de 2014</w:t>
      </w:r>
    </w:p>
    <w:p>
      <w:r>
        <w:t>ASSUNTO: IMPOSTO SOBRE A RENDA DE PESSOA FÍSICA – IRPF EMENTA: INCORPORAÇÃO DE AÇÕES. TRANSFERÊNCIA. INTEGRALIZAÇÃO DE CAPITAL. PESSOA FÍSICA. GANHO DE CAPITAL. INCIDÊNCIA. Na operação de incorporação de ações, a transferência destas para o capital social da companhia incorporadora caracteriza alienação cujo valor, se superior ao indicado na declaração de bens da pessoa física que as transfere, é tributável pela diferença a maior, como ganho de capital, na forma da legislação. DISPOSITIVOS LEGAIS: Lei nº 6.404, de 1976, art. 252; Lei n° 7.713, de 1988, art. 3°; Lei n° 9.249, de 1995, art. 23; e Instrução Normativa SRF nº 84, de 2001, arts. 2º, 3º, 16, 27 e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224, de 14 de agosto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