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224, de 25 de setembro de 2023</w:t>
      </w:r>
    </w:p>
    <w:p>
      <w:r>
        <w:t xml:space="preserve">Assunto: Imposto sobre a Renda de Pessoa Física - IRPF </w:t>
      </w:r>
      <w:r>
        <w:t xml:space="preserve">GANHO DE CAPITAL. ALIENAÇÃO DE IMÓVEL RESIDENCIAL. ISENÇÃO. ART. 39 DA LEI Nº 11.196, DE 2005. APLICAÇÃO DO PRODUTO DA VENDA NA QUITAÇÃO DE FINANCIAMENTO DE IMÓVEL RESIDENCIAL EM CONSTRUÇÃO OU NA PLANTA. </w:t>
      </w:r>
      <w:r>
        <w:t xml:space="preserve">É isento do imposto sobre a renda o ganho auferido por pessoa física residente no País na venda de imóvel residencial que, no prazo de 180 (cento e oitenta) dias contado da celebração do contrato, utilize o recurso para quitar, total ou parcialmente, débito remanescente de aquisição a prazo ou à prestação de imóvel residencial em construção ou na planta localizado no País. </w:t>
      </w:r>
      <w:r>
        <w:t xml:space="preserve">Dispositivos Legais: Lei nº 11.196, de 21 de novembro de 2005, art. 39; Instrução Normativa SRF nº 599, de 28 de dezembro de 2005, art. 2º, § 10. </w:t>
      </w:r>
      <w:r>
        <w:t xml:space="preserve">Assunto: Processo Administrativo Fiscal </w:t>
      </w:r>
      <w:r>
        <w:t xml:space="preserve">Não produz efeito a consulta que versar sobre fato disciplinado em ato normativo, publicado antes de sua apresentação. </w:t>
      </w:r>
      <w:r>
        <w:t>Dispositivos legais: Decreto nº 70.235, de 6 de março de 1972, art. 52, inciso V; Decreto nº 7.574, de 29 de setembro de 2011, art. 94, inciso V; Instrução Normativa RFB nº 2.058, de 9 de dezembro de 2021, art. 27, inciso VII.</w:t>
      </w:r>
    </w:p>
    <w:p>
      <w:r>
        <w:t>SC Cosit nº 224-2023.pdf</w:t>
      </w:r>
    </w:p>
    <w:p>
      <w:r>
        <w:t xml:space="preserve">RODRIGO AUGUSTO VERLY DE OLIVEIRA </w:t>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224, de 25 de setembro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