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256, de 15 de setembro de 2014</w:t>
      </w:r>
    </w:p>
    <w:p>
      <w:r>
        <w:t>ASSUNTO: Imposto sobre a Renda de Pessoa Física – IRPF EMENTA: IMÓVEL ADQUIRIDO EM CONDOMÍNIO. CÔNJUGES CASADOS OBRIGATORIAMENTE SOB O REGIME DE SEPARAÇÃO DE BENS. DECLARAÇÃO DE BENS E DIREITOS. Os bens adquiridos em condomínio por cônjuges casados obrigatoriamente sob o regime de separação de bens devem ser informados por condômino em relação à parte que couber a cada um. IMÓVEL PERTENCENTE A CÔNJUGES CASADOS OBRIGATORIAMENTE SOB O REGIME DE SEPARAÇÃO DE BENS. VALOR DE ALIENAÇÃO. GANHO DE CAPITAL. Considera-se valor de alienação, no caso de bens em condomínio pertencente a cônjuges casados obrigatoriamente sob o regime de separação de bens, a parcela do preço que couber a cada um, devendo, para fins de tributação do ganho de capital, cada cônjuge apurar o valor que lhe cabe. GANHO DE CAPITAL. ISENÇÃO. ÚNICO IMÓVEL. CÔNJUGES CASADOS OBRIGATORIAMENTE SOB O REGIME DE SEPARAÇÃO DE BENS. Fica isento do imposto de renda o ganho de capital auferido na alienação do único imóvel que o titular possua, cujo valor de alienação seja de até R$ 440.000,00 (quatrocentos e quarenta mil reais), desde que não tenha sido realizada qualquer outra alienação nos últimos cinco anos, sendo que, no regime de separação de bens, esses requisitos para isenção devem ser verificados individualmente, por cônjuge, observada a parcela do preço que lhe couber. DISPOSITIVOS LEGAIS: Lei nº 9.250, de 1995, art. 23; Lei nº 10.406, de 2002 (Código Civil), arts. 1.315, parágrafo único, 1.641 e 1.687; IN SRF nº 84, de 2001, art. 19, IV; ASSUNTO: Normas de Administração Tributária EMENTA: CONSULTA. INEFICÁCIA. É ineficaz a parte da consulta que versa sobre questão eminentemente procedimental e que não indica os dispositivos da legislação tributária sobre cuja aplicação há dúvidas. DISPOSITIVOS LEGAIS: Decreto nº 70.235, de 1972, art. 46 e 52, I; IN RFB nº 1.396, de 2013, art. 18, I, II e XIV; PN CST/SIPR nº 448, de 1990.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256, de 15 de setembro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