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309, de 26 de dezembro de 2018</w:t>
      </w:r>
    </w:p>
    <w:p>
      <w:r>
        <w:t>ASSUNTO: IMPOSTO SOBRE A RENDA RETIDO NA FONTE - IRRF EMENTA: REMESSAS PARA O EXTERIOR. DOAÇÃO. INCIDÊNCIA. Os valores remetidos a título de doação a residente ou domiciliado no exterior, pessoa física ou jurídica, sujeitam-se à incidência do IRRF, à alíquota de 15% (quinze por cento), ou de 25% (vinte e cinco por cento), na hipótese de o beneficiário ser residente ou domiciliado em país ou dependência com tributação favorecida. DISPOSITIVOS LEGAIS: Lei nº 5.172, de 25 de outubro de 1966 (Código Tributário Nacional), art. 43; Regulamento do Imposto de Renda, anexo ao Decreto nº 9.580, de 22 de novembro de 2018 (RIR/2018), art. 744, caput e §1º.</w:t>
      </w:r>
    </w:p>
    <w:p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309, de 26 de dezembro de 2018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