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313, de 7 de novembro de 2014</w:t>
      </w:r>
    </w:p>
    <w:p>
      <w:r>
        <w:t>ASSUNTO: IMPOSTO SOBRE A RENDA DE PESSOA FÍSICA – IRPF SOLUÇÃO DE CONSULTA VINCULADA À SOLUÇÃO DE CONSULTA COSIT Nº 98, DE 3 DE ABRIL DE 2014, EMENTA PUBLICADA NO DOU DE 6 DE MAIO DE 2014. EMENTA: Acidente de trânsito. Reparação por perda da capacidade laborativa da vítima e pelas despesas do seu tratamento. Intributabilidade. Não se sujeitam à incidência do Imposto sobre a Renda a indenização reparatória em decorrência de ato ilícito praticado por terceiros, em razão de danos físicos e invalidez, paga, na espécie, de uma única vez, bem como os valores recebidos para cobrir despesas médico-hospitalares que se protraem no tempo, por período “a priori” indeterminado, necessárias ao tratamento da vítima, ainda que tais rendimentos provenham de fonte pagadora estabelecida no exterior. DISPOSITIVOS LEGAIS: Código Tributário Nacional, art. 43, incisos I e II; Código Civil, arts. 186, 402, 403, 927, 944, 949 e 950; Decreto nº 3.000, de 1999 (RIR/1999), art. 39, inciso XVI; Instrução Normativa SRF nº 15, de 2001, art. 5º, inciso XXIV; Solução de Divergência Cosit nº 6, de 2011; Ato Declaratório Normativo nº 20, de 1989. EMENTA: Acidente de trânsito. Dano moral “in re ipsa”. Intributabilidade do “pretium doloris”. Em razão do acolhimento, pela Procuradoria-Geral da Fazenda Nacional, da Jurisprudência pacífica do Eg. Superior Tribunal de Justiça sobre a espécie, formada nos moldes do art. 543-C do Código de Processo Civil, segue-se que a verba percebida por pessoa física, a título de dano moral de qualquer natureza, ainda que paga por fonte situada no estrangeiro (“pain and suffering damages”, no direito anglo-saxão), não está sujeita à incidência do Imposto sobre a Renda. DISPOSITIVOS LEGAIS: Lei nº 10.522, de 2002, art. 19, incisos II e V, §§ 4º, 5º e 7º, com redação da Lei nº 12.844, de 2013; Decreto nº 2.346, de 1997, art. 5º; Parecer PGFN/CRJ nº 2.123, de 2011; Ato Declaratório PGFN nº 9, de 2011; Portaria Conjunta PGFN/RFB nº 1, de 2014; Nota PGFN/CRJ nº 1.114, de 2012; Solução de Divergência Cosit nº 6, de 2011; Ato Declaratório Normativo nº 20, de 1989.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313, de 7 de novembro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