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320, de 20 de junho de 2017</w:t>
      </w:r>
    </w:p>
    <w:p>
      <w:r>
        <w:t xml:space="preserve">ASSUNTO: Imposto sobre a Renda de Pessoa Física – IRPF </w:t>
      </w:r>
      <w:r>
        <w:t xml:space="preserve">EMENTA: GANHO DE CAPITAL EM MOEDA ESTRANGEIRA –ALIENAÇÃO DE BENS DE PEQUENO VALOR – NEGOCIAÇÃO DE AÇÕES – ISENÇÃO. </w:t>
      </w:r>
      <w:r>
        <w:t xml:space="preserve">É isento do imposto sobre a renda pessoa física o ganho de capital auferido na alienação de bens e direitos de pequeno valor, cujo preço unitário de alienação, no mês em que esta se realizar seja igual ou inferior a - R$ 20.000,00 (vinte mil reais), no caso de alienação de ações negociadas no mercado de balcão e R$ 35.000,00 (trinta e cinco mil reais), nos demais casos. </w:t>
      </w:r>
      <w:r>
        <w:t xml:space="preserve">O limite de R$ 35.000,00 aplica-se à alienação de ações em bolsa no exterior, por residente no Brasil, sujeita a apuração de Ganho de Capital em Moeda Estrangeira. </w:t>
      </w:r>
      <w:r>
        <w:t>DISPOSITIVOS LEGAIS: Lei nº 9.250, de 26 de dezembro de 1995, art. 22, Instrução Normativa RFB nº 599, de 28 de dezembro de 2005, art. 1º.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320, de 20 de junho de 2017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