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Solução de Consulta Cosit nº 337, de 28 de dezembro de 2018</w:t>
      </w:r>
    </w:p>
    <w:p>
      <w:r>
        <w:t>ASSUNTO: IMPOSTO SOBRE A RENDA RETIDO NA FONTE – IRRF EMENTA: PESSOA FÍSICA RESIDENTE NO EXTERIOR. RENDIMENTOS DO TRABALHO RECEBIDOS EM RECLAMATÓRIA TRABALHISTA. INCIDÊNCIA. A tributação dos valores pagos, creditados, entregues, empregados ou remetidos, por fonte situada Brasil, a pessoa física residente no exterior, decorrentes de reclamatória trabalhista, é realizada na modalidade de retenção exclusiva na fonte, à alíquota de 25%, incidindo uma única vez, na ocorrência do primeiro evento – pagamento, crédito, entrega, emprego ou remessa, não se aplicando as regras de tributação de rendimentos recebidos acumuladamente. DISPOSITIVOS LEGAIS: Lei nº 7.713, de 22 de dezembro de 1988, art. 1º; Regulamento do Imposto sobre a Renda e Proventos de Qualquer Natureza aprovado pelo Decreto nº 9.580, de 22 de novembro de 2018 (RIR/2018), arts. 741 e 746; Instrução Normativa SRF nº 208, de 27 de setembro de 2002, art. 10.</w:t>
      </w:r>
    </w:p>
    <w:p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Consulta Cosit nº 337, de 28 de dezembro de 2018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