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48, de 24 de março de 2021</w:t>
      </w:r>
    </w:p>
    <w:p>
      <w:r>
        <w:t xml:space="preserve">Assunto: Imposto sobre a Renda de Pessoa Física - IRPF </w:t>
      </w:r>
      <w:r>
        <w:t xml:space="preserve">APLICAÇÃO FINANCEIRA NO EXTERIOR. GANHO DE CAPITAL. ISENÇÃO NA ALIENAÇÃO DE BENS DE PEQUENO VALOR. CONTA CONJUNTA. </w:t>
      </w:r>
      <w:r>
        <w:t xml:space="preserve">O ganho de capital apurado na alienação de bens ou direitos e na liquidação ou resgate de aplicações financeiras, adquiridos, a qualquer título, em moeda estrangeira, é tributado pelo imposto sobre a renda da pessoa física em conformidade com o disposto no art. 24 da Medida Provisória nº 2.158-35, de 24 de agosto de 2001. </w:t>
      </w:r>
      <w:r>
        <w:t xml:space="preserve">É isento do imposto sobre a renda pessoa física o ganho de capital auferido na alienação de bens e direitos de pequeno valor, cujo valor de alienação, no mês em que esta se realizar seja igual ou inferior a - R$ 20.000,00 (vinte mil reais), no caso de alienação de ações negociadas no mercado de balcão, e R$ 35.000,00 (trinta e cinco mil reais), nos demais casos. </w:t>
      </w:r>
      <w:r>
        <w:t xml:space="preserve">O limite de R$ 35.000,00 aplica-se, no caso de operações financeiras sujeitas à apuração de Ganho de Capital em Moeda Estrangeira, em relação ao total das liquidações ou resgates realizados no mês por residente no Brasil. </w:t>
      </w:r>
      <w:r>
        <w:t xml:space="preserve">Dispositivos Legais: Regulamento do Imposto sobre a Renda (RIR/2018), art. 133, aprovado pelo Decreto nº 9.580, de 22 de novembro de 2018; Lei nº 9.250, de 26 de dezembro de 1995, art. 22; Medida Provisória nº 2.158-35, de 24 de agosto de 2001, art. 24; Instrução Normativa SRF nº 118, de 28 de dezembro de 2000, arts. 1º, 17 e 18; Instrução Normativa RFB nº 599, de 28 de dezembro de 2005, art. 1º; Instrução Normativa RFB nº 1.500, de 29 de outubro de 2014, art. 10; ADI SRF nº 8/2003, art. 1º. </w:t>
      </w:r>
      <w:r>
        <w:t xml:space="preserve">ASSUNTO: PROCESSO ADMINISTRATIVO FISCAL </w:t>
      </w:r>
      <w:r>
        <w:t xml:space="preserve">CONSULTA SOBRE DISPOSITIVOS DA LEGISLAÇÃO TRIBUTÁRIA. INEFICÁCIA. </w:t>
      </w:r>
      <w:r>
        <w:t xml:space="preserve">Consulta parcialmente ineficaz. </w:t>
      </w:r>
      <w:r>
        <w:t xml:space="preserve">Não produz efeitos a consulta quando o fato estiver disciplinado em ato normativo ou definido em disposição literal de lei. </w:t>
      </w:r>
      <w:r>
        <w:t>Dispositivos Legais: Decreto nº 70.235, de 6 de março de 1972, arts. 46 e 52, incisos V e VI; Instrução Normativa RFB nº 1.396, de 16 de setembro de 2013, art. 18, incisos VII e IX.</w:t>
      </w:r>
    </w:p>
    <w:p>
      <w:r>
        <w:t>SC Cosit nº 48-2021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48, de 24 de março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