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4, de 3 de março de 2021</w:t>
      </w:r>
    </w:p>
    <w:p>
      <w:r>
        <w:t xml:space="preserve">Assunto: Imposto sobre a Renda de Pessoa Física - IRPF </w:t>
      </w:r>
      <w:r>
        <w:t xml:space="preserve">GANHO DE CAPITAL. VENDA DE IMÓVEL RESIDENCIAL E AQUISIÇÃO DE OUTRO IMÓVEL RESIDENCIAL. CONCEITO DE IMÓVEL RESIDENCIAL. </w:t>
      </w:r>
      <w:r>
        <w:t xml:space="preserve">É isento do imposto sobre a renda o ganho auferido por pessoa física residente no Brasil na venda de imóveis residenciais, desde que o alienante, no prazo de 180 (cento e oitenta) dias contado da celebração do contrato, aplique o produto da venda na aquisição de imóveis residenciais localizados no País. </w:t>
      </w:r>
      <w:r>
        <w:t xml:space="preserve">A fruição da isenção de que trata o art. 39 da Lei nº 11.196, de 2005, na hipótese de aquisição de "casa pré-fabricada e terreno onde foi construída, ainda que não seja averbada a construção", a par do cumprimento dos demais requisitos previstos nesse artigo, sujeita-se à comprovação de que o imóvel objeto dessa operação destina-se a fins residenciais, segundo as normas disciplinadoras das edificações da localidade em que se situar - mediante documentação hábil e idônea. </w:t>
      </w:r>
      <w:r>
        <w:t>Dispositivos Legais: Lei nº 11.196, de 21 de novembro de 2005, art. 39; Regulamento do Imposto sobre a Renda (RIR/2018), aprovado pelo Decreto nº 9.580, de 22 de novembro de 2018, art. 137; Instrução Normativa SRF nº 599, de 28 de novembro de 2005, art. 2º, § 9º.</w:t>
      </w:r>
    </w:p>
    <w:p>
      <w:r>
        <w:t>SC Cosit nº 4-2021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4, de 3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