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50, de 22 de março de 2024</w:t>
      </w:r>
    </w:p>
    <w:p>
      <w:r>
        <w:t xml:space="preserve">Assunto: Imposto sobre a Renda de Pessoa Jurídica - IRPJ </w:t>
      </w:r>
      <w:r>
        <w:t xml:space="preserve">SOCIEDADE DE CRÉDITO DIRETO. SISTEMÁTICA DE APURAÇÃO. LUCRO REAL. LUCRO PRESUMIDO. </w:t>
      </w:r>
      <w:r>
        <w:t xml:space="preserve">Às Sociedades de Crédito Direto não se aplica o disposto no art. 14, inciso II, da Lei nº 9.718, de 1998, não se podendo incluir tal espécie de instituições financeiras no rol taxativo naquele dispositivo elencado. </w:t>
      </w:r>
      <w:r>
        <w:t xml:space="preserve">Dispositivos Legais. art. 14, inciso II, da Lei nº 9.718, de 1998. Art. 97, incisos II e IV, e art. 108, § 1º, do CTN. </w:t>
      </w:r>
      <w:r>
        <w:t xml:space="preserve">Assunto: Normas de Administração Tributária </w:t>
      </w:r>
      <w:r>
        <w:t xml:space="preserve">INEFICÁCIA PARCIAL. </w:t>
      </w:r>
      <w:r>
        <w:t xml:space="preserve">Não produzem efeitos os questionamentos sobre fato genérico ou sobre fato definido ou declarado em disposição literal de lei. </w:t>
      </w:r>
      <w:r>
        <w:t>Dispositivos Legais: Instrução Normativa RFB nº 2.058, de 9 de dezembro de 2021, art. 27, incisos II e IX.</w:t>
      </w:r>
    </w:p>
    <w:p>
      <w:r>
        <w:t>Novo segmento</w:t>
      </w:r>
    </w:p>
    <w:p>
      <w:r>
        <w:t xml:space="preserve">RODRIGO AUGUSTO VERLY DE OLIVEIRA </w:t>
      </w:r>
      <w:r>
        <w:t>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50, de 22 de março de 2024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