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600, de 21 de dezembro de 2017</w:t>
      </w:r>
    </w:p>
    <w:p>
      <w:r>
        <w:t xml:space="preserve">ASSUNTO: IMPOSTO SOBRE A RENDA DE PESSOA FÍSICA - IRPF </w:t>
      </w:r>
      <w:r>
        <w:t xml:space="preserve">EMENTA: Ganho de Capital.Valor a ser tributado. Data de aquisição. Usucapião. </w:t>
      </w:r>
      <w:r>
        <w:t xml:space="preserve">Para efeito de redução na apuração do valor a ser tributado como ganho de capital sobre imóvel adquirido por Usucapião Extraordinário, considera-se como data de aquisição, aquela em que se concluiu o período aquisitivo da propriedade em função da posse e demais requisitos inerentes ao usucapião extraordinário. </w:t>
      </w:r>
      <w:r>
        <w:t>DISPOSITIVOS LEGAIS: Lei nº 10.406, de 10 de janeiro de 2002, art. 1.238; Lei nº 7.713, de 22 de dezembro de 1988, art. 18; Instrução Normativa SRF nº 84, de 11 de outubro de 2001, art. 21, inciso I.</w:t>
      </w:r>
    </w:p>
    <w:p>
      <w:r>
        <w:t>Novo segmento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600, de 21 de dezembro de 2017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