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656, de 27 de dezembro de 2017</w:t>
      </w:r>
    </w:p>
    <w:p>
      <w:r>
        <w:t xml:space="preserve">ASSUNTO: Imposto sobre a Renda Retido na Fonte - IRRF </w:t>
      </w:r>
      <w:r>
        <w:t xml:space="preserve">EMENTA: REMESSA AO EXTERIOR. COBERTURA DE DESPESAS COM A MANUTENÇÃO DE DEPENDENTES. LIMITES FIXADOS PELO BANCO CENTRAL DO BRASIL. NÃO-INCIDÊNCIA. </w:t>
      </w:r>
      <w:r>
        <w:t xml:space="preserve">As remessas para cobertura de despesas com a manutenção de dependentes no exterior, em nome dos mesmos, não se sujeitam à retenção do imposto de renda na fonte, independentemente do seu valor, desde que não se trate de rendimentos auferidos pelos favorecidos ou que estes não tenham perdido a condição de residentes ou domiciliados no País, quando se tratar de rendimentos próprios, e que as remessas sejam realizadas através de entidades autorizadas e de acordo com os mecanismos regulares estabelecidos pelo Banco Central do Brasil. </w:t>
      </w:r>
      <w:r>
        <w:t>DISPOSITIVOS LEGAIS: Lei nº 5.172, de 25 de outubro de 1966 (Código Tributário Nacional), art. 43; Decreto nº 3.000, de 26 de março de 1999 (Regulamento do Imposto de Renda), art. 690, V.</w:t>
      </w:r>
    </w:p>
    <w:p>
      <w:r>
        <w:t>Novo segmento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656, de 27 de dezembro de 2017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