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Solução de Consulta Cosit nº 66, de 23 de junho de 2020</w:t>
      </w:r>
    </w:p>
    <w:p>
      <w:r>
        <w:t xml:space="preserve">Assunto: Imposto sobre a Renda de Pessoa Física - IRPF </w:t>
      </w:r>
      <w:r>
        <w:t xml:space="preserve">ADIANTAMENTO DE LEGÍTIMA. GANHO DE CAPITAL. TRIBUTAÇÃO da mais-valia. CRITÉRIOS DE AVALIAÇÃO DOS BENS E DIREITOS. VALOR DE MERCADO. VALOR CONSTANTE NA DECLARAÇÃO DE BENS DO DOADOR. VALOR ATRIBUÍDO NA AVALIAÇÃO PARA EFEITO DE PAGAMENTO DO IMPOSTO ESTADUAL DE TRANSMISSÃO. </w:t>
      </w:r>
      <w:r>
        <w:t xml:space="preserve">Na transferência de direito de propriedade por doação em adiantamento de legítima, os bens e direitos poderão ser avaliados a valor de mercado ou considerados pelo valor constante na declaração de bens do doador. </w:t>
      </w:r>
      <w:r>
        <w:t xml:space="preserve">O valor relativo à opção por qualquer dos referidos critérios de avaliação independe do valor atribuído em avaliação adotada para efeito do pagamento do imposto estadual de transmissão. </w:t>
      </w:r>
      <w:r>
        <w:t xml:space="preserve">Se a transferência for efetuada por valor superior ao constante na declaração de bens do doador, a diferença a maior constitui ganho de capital sujeito a tributação definitiva. No entanto, o percentual fixo de redução, previsto legalmente, pode ser aplicado sobre o ganho de capital apurado. </w:t>
      </w:r>
      <w:r>
        <w:t xml:space="preserve">No caso de imóveis adquiridos até o ano de 1969, adota-se o percentual fixo de redução de 100% (cem por cento) sobre o ganho de capital determinado. </w:t>
      </w:r>
      <w:r>
        <w:t>Dispositivos Legais: Regulamento do Imposto sobre a Renda e Proventos de Qualquer Natureza, arts. 35, inciso VI, alíneas "d" e "e", 130, 132, 140, 148, 149, 150 e 153, aprovado pelo Decreto nº 9.580, de 22 de novembro de 2018; Instrução Normativa SRF nº 84, de 11 de outubro de 2001, arts. 3º, inciso II, 20, 26 e 30, inciso IV; Instrução Normativa SRF nº 599, de 28 de dezembro de 2005; Instrução Normativa RFB nº 1.500, de 29 de outubro de 2014, arts. 10, inciso IV, e 21, inciso V.</w:t>
      </w:r>
    </w:p>
    <w:p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Solução de Consulta Cosit nº 66, de 23 de junho de 2020</dc:title>
  <dc:subject>Brazilian Federal Law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