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70, de 30 de dezembro de 2013</w:t>
      </w:r>
    </w:p>
    <w:p>
      <w:r>
        <w:t>Assunto: Imposto sobre a Renda de Pessoa Física – IRPF Ementa: Rendimentos Oriundos de Perdão ou Cancelamento de Dívida. Tratamento Tributário. O perdão ou cancelamento de dívida somente terá repercussão tributária para o beneficiário se corresponder à contraprestação de serviços ao credor. Dispositivos Legais: Regulamento do Imposto de Renda, aprovado pelo Decreto nº 3.000, de 26 de março de 1999, art. 55, I.</w:t>
      </w:r>
    </w:p>
    <w:p>
      <w:r>
        <w:t>FERNANDO MOMBELLI 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70, de 30 de dezembro de 2013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