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70, de 28 de março de 2014</w:t>
      </w:r>
    </w:p>
    <w:p>
      <w:r>
        <w:t>ASSUNTO: Imposto sobre a Renda de Pessoa Física – IRPF. EMENTA: GANHO DE CAPITAL. ISENÇÃO. APLICAÇÃO EM CONSTRUÇÃO DE CASA. Não se aplica a isenção sobre o ganho de capital, nos termos do artigo 39 da Lei n.º 11.196, de 2005, quando o valor recebido na alienação do imóvel for utilizado na construção de uma casa. DISPOSITIVOS LEGAIS: Lei n.º 11.196, de 2005, art. 39, §§ e incisos IN SRF n.º 599, de 2005, art. 2.º, §§ 9.º e 11.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70, de 28 de março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