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75, de 31 de março de 2023</w:t>
      </w:r>
    </w:p>
    <w:p>
      <w:r>
        <w:t xml:space="preserve">Assunto: Imposto sobre a Renda Retido na Fonte - IRRF </w:t>
      </w:r>
      <w:r>
        <w:t xml:space="preserve">LICENÇA DE USO DE SOFTWARE. PAGAMENTO, CRÉDITO, ENTREGA, EMPREGO OU REMESSA PARA O EXTERIOR. USUÁRIO FINAL. AQUISIÇÃO OU RENOVAÇÃO. ROYALTIES. TRIBUTAÇÃO. </w:t>
      </w:r>
      <w:r>
        <w:t xml:space="preserve">Os valores pagos, creditados, entregues, empregados ou remetidos em a residente ou domiciliado no exterior, pelo usuário final, para fins de aquisição ou renovação de licença de uso de software, independentemente de customização ou do meio empregado na entrega, caracterizam royalties e estão sujeitos à incidência de Imposto sobre a Renda na Fonte (IRRF), em regra, sob a alíquota de 15% (quinze por cento). </w:t>
      </w:r>
      <w:r>
        <w:t xml:space="preserve">Dispositivos Legais: Lei nº 9.609, de 19 de fevereiro de 1998, arts. 1º, 2º e 9º; Lei nº 9.610, de 19 de fevereiro de 1998, art. 7º, inciso XII; Decreto nº 9.580, de 22 de novembro de 2018, arts. 44 e 767. </w:t>
      </w:r>
      <w:r>
        <w:t xml:space="preserve">BENEFICIÁRIO RESIDENTE OU DOMICILIADO EM PAÍS COM TRIBUTAÇÃO FAVORECIDA. ALÍQUOTA MAJORADA. </w:t>
      </w:r>
      <w:r>
        <w:t xml:space="preserve">Na hipótese de o beneficiário ser residente ou domiciliado em país com tributação favorecida, a alíquota do IRRF sobre os royalties devidos pela licença de uso de software será de 25% (vinte e cinco por cento). </w:t>
      </w:r>
      <w:r>
        <w:t>Dispositivos Legais: Lei nº 9.430, de 27 de dezembro de 1996, art. 24; Decreto nº 9.580, de 22 de novembro de 2018, arts. 44 e 748.</w:t>
      </w:r>
    </w:p>
    <w:p>
      <w:r>
        <w:t>SC Cosit nº 75-2023</w:t>
      </w:r>
    </w:p>
    <w:p>
      <w:r>
        <w:t xml:space="preserve">RODRIGO AUGUSTO VERLY DE OLIVEIRA </w:t>
      </w:r>
      <w:r>
        <w:t>Coordenador 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75, de 31 de março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