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76, de 3 de abril de 2023</w:t>
      </w:r>
    </w:p>
    <w:p>
      <w:r>
        <w:t xml:space="preserve">Assunto: Imposto sobre a Renda de Pessoa Física - IRPF </w:t>
      </w:r>
      <w:r>
        <w:t xml:space="preserve">Ementa: PROMESSA DE COMPRA E VENDA DE IMÓVEL. GANHO DE CAPITAL. FATO GERADOR. DISTRATO. IRRELEVÂNCIA. DECLARAÇÃO DE BENS E DIREITOS DA DECLARAÇÃO DE AJUSTE ANUAL. RETIFICAÇÃO. IMPOSSIBILIDADE. </w:t>
      </w:r>
      <w:r>
        <w:t xml:space="preserve">A promessa de compra e venda de imóvel configura alienação para fins do disposto na Lei nº 7.713, de 22 de dezembro de 1988, sendo irrelevante, para efeitos tributários, seu distrato superveniente. Consequentemente, é incabível a retificação da Declaração de Bens e Direitos da Declaração de Ajuste Anual do promitente vendedor, correspondente ao ano-calendário do evento, com o fito de substituir o promissário comprador anterior por outro que venha a celebrar novo contrato de promessa de compra e venda. </w:t>
      </w:r>
      <w:r>
        <w:t>Dispositivos Legais: Lei nº 5.172, de 25 de outubro 1966 - Código Tributário Nacional (CTN), arts. 109, 116, inciso II, 117 e 118; Lei nº 7.713, de 22 de dezembro de 1988, art. 3º, § 3º; Lei nº 10.406, de 10 de janeiro de 2002 (Código Civil), art. 472; Regulamento do Imposto sobre a Renda e Proventos de Qualquer Natureza (RIR/2018), aprovado pelo Decreto nº 9.580, de 22 de novembro de 2018, art. 128, § 4º, inciso VIII; Instrução Normativa SRF nº 84, de 11 de outubro de 2001, art. 3º, inciso I.</w:t>
      </w:r>
    </w:p>
    <w:p>
      <w:r>
        <w:t>SC Cosit nº 76-2023</w:t>
      </w:r>
    </w:p>
    <w:p>
      <w:r>
        <w:t xml:space="preserve">RODRIGO AUGUSTO VERLY DE OLIVEIRA </w:t>
      </w:r>
      <w:r>
        <w:t>Coordenador-Geral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76, de 3 de abril de 2023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