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Solução de Consulta Cosit nº 81, de 31 de março de 2014</w:t>
      </w:r>
    </w:p>
    <w:p>
      <w:r>
        <w:t>ASSUNTO: Imposto sobre a Renda Retido na Fonte – IRRF EMENTA: BOLSA DE PESQUISA. TRIBUTAÇÃO. RETENÇÃO NA FONTE. São tributáveis, e sujeitos à incidência do imposto sobre a renda na fonte, os rendimentos pagos por associação sem fins lucrativos a pesquisador visitante a título de bolsa de pesquisa, quando, em contrapartida ao custeio, esteja previsto o aproveitamento econômico do resultado dessa atividade pela fonte pagadora. DISPOSITIVOS LEGAIS: Decreto nº 3.000, de 1999 (RIR/99), arts. 39, VII, 43, I, 620, 624, 628 e 639.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Solução de Consulta Cosit nº 81, de 31 de março de 2014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