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Interna Cosit nº 29, de 4 de novembro de 2013</w:t>
      </w:r>
    </w:p>
    <w:p>
      <w:r>
        <w:t>ASSUNTO: IMPOSTO SOBRE A RENDA DE PESSOA FÍSICA - IRPF O desconto simplificado substitui todas as deduções previstas na legislação tributária às quais o contribuinte faria jus caso optasse pela declaração com base nas deduções legais.Dispositivos Legais: O desconto simplificado, entretanto, não substitui as deduções relacionadas a pessoas que, embora possam ser consideradas dependentes perante a legislação tributária, não constam da declaração. A apresentação de declaração com opção pelo desconto simplificado por um dos cônjuges, em que não há a inclusão de dependente comum, não impede que o outro cônjuge apresente declaração com a utilização das deduções legais, incluindo o dependente comum na declaração e utilizando as deduções a ele relacionadas e vice-versa. Dispositivos Legais: Lei nº 9.250, de 26 de dezembro de 1995, arts. 8º e 10, Decreto no 3.000, de 26 de março de 1999 (RIR/1999), e Instrução Normativa SRF nº 15, de 6 de fevereiro de 2001, art. 29.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Interna Cosit nº 29, de 4 de novembro de 2013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