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Interna Cosit nº 4, de 17 de abril de 2012</w:t>
      </w:r>
    </w:p>
    <w:p>
      <w:r>
        <w:t>ASSUNTO: IMPOSTO SOBRE A RENDA DE PESSOA FÍSICA - IRPF PREVIDÊNCIA COMPLEMENTAR FECHADA. REVISÃO DO PLANO DE BENEFÍCIOS. REVERSÃO DE VALORES. INCIDÊNCIA NA FONTE E NA DECLARAÇÃO DE AJUSTE ANUAL A importância recebida em decorrência da reversão de valores ocorrida na revisão de plano de benefícios de entidade fechada de previdência complementar é considerada rendimento pago por pessoa jurídica a pessoa física, sujeitando-se à incidência do Imposto sobre a Renda na Fonte e na Declaração de Ajuste Anual.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Interna Cosit nº 4, de 17 de abril de 2012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