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12FB1" w14:textId="77777777" w:rsidR="00F85F9B" w:rsidRPr="00E95348" w:rsidRDefault="00000000">
      <w:pPr>
        <w:spacing w:after="1"/>
        <w:ind w:left="10" w:hanging="10"/>
        <w:jc w:val="both"/>
        <w:rPr>
          <w:lang w:val="pt-BR"/>
        </w:rPr>
      </w:pPr>
      <w:r>
        <w:rPr>
          <w:noProof/>
        </w:rPr>
        <w:drawing>
          <wp:anchor distT="0" distB="0" distL="114300" distR="114300" simplePos="0" relativeHeight="251658240" behindDoc="0" locked="0" layoutInCell="1" allowOverlap="0" wp14:anchorId="65C704A6" wp14:editId="1F0A4D9E">
            <wp:simplePos x="0" y="0"/>
            <wp:positionH relativeFrom="column">
              <wp:posOffset>1</wp:posOffset>
            </wp:positionH>
            <wp:positionV relativeFrom="paragraph">
              <wp:posOffset>-44453</wp:posOffset>
            </wp:positionV>
            <wp:extent cx="829056" cy="819912"/>
            <wp:effectExtent l="0" t="0" r="0" b="0"/>
            <wp:wrapSquare wrapText="bothSides"/>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829056" cy="819912"/>
                    </a:xfrm>
                    <a:prstGeom prst="rect">
                      <a:avLst/>
                    </a:prstGeom>
                  </pic:spPr>
                </pic:pic>
              </a:graphicData>
            </a:graphic>
          </wp:anchor>
        </w:drawing>
      </w:r>
      <w:r w:rsidRPr="00E95348">
        <w:rPr>
          <w:rFonts w:ascii="Times New Roman" w:eastAsia="Times New Roman" w:hAnsi="Times New Roman" w:cs="Times New Roman"/>
          <w:lang w:val="pt-BR"/>
        </w:rPr>
        <w:t>MINISTÉRIO DA FAZENDA</w:t>
      </w:r>
    </w:p>
    <w:p w14:paraId="57EF62F4" w14:textId="77777777" w:rsidR="00F85F9B" w:rsidRPr="00E95348" w:rsidRDefault="00000000">
      <w:pPr>
        <w:spacing w:after="1"/>
        <w:ind w:left="10" w:hanging="10"/>
        <w:jc w:val="both"/>
        <w:rPr>
          <w:lang w:val="pt-BR"/>
        </w:rPr>
      </w:pPr>
      <w:r w:rsidRPr="00E95348">
        <w:rPr>
          <w:rFonts w:ascii="Times New Roman" w:eastAsia="Times New Roman" w:hAnsi="Times New Roman" w:cs="Times New Roman"/>
          <w:lang w:val="pt-BR"/>
        </w:rPr>
        <w:t>Procuradoria-Geral da Fazenda Nacional</w:t>
      </w:r>
    </w:p>
    <w:p w14:paraId="15B419B0" w14:textId="77777777" w:rsidR="00F85F9B" w:rsidRPr="00E95348" w:rsidRDefault="00000000">
      <w:pPr>
        <w:spacing w:after="1"/>
        <w:ind w:left="10" w:hanging="10"/>
        <w:jc w:val="both"/>
        <w:rPr>
          <w:lang w:val="pt-BR"/>
        </w:rPr>
      </w:pPr>
      <w:r w:rsidRPr="00E95348">
        <w:rPr>
          <w:rFonts w:ascii="Times New Roman" w:eastAsia="Times New Roman" w:hAnsi="Times New Roman" w:cs="Times New Roman"/>
          <w:lang w:val="pt-BR"/>
        </w:rPr>
        <w:t>Procuradoria-Geral Adjunta de Consultoria e Estratégia da Representação Judicial e</w:t>
      </w:r>
    </w:p>
    <w:p w14:paraId="394A2FC2" w14:textId="77777777" w:rsidR="00F85F9B" w:rsidRPr="00E95348" w:rsidRDefault="00000000">
      <w:pPr>
        <w:spacing w:after="1"/>
        <w:ind w:left="10" w:hanging="10"/>
        <w:jc w:val="both"/>
        <w:rPr>
          <w:lang w:val="pt-BR"/>
        </w:rPr>
      </w:pPr>
      <w:r w:rsidRPr="00E95348">
        <w:rPr>
          <w:rFonts w:ascii="Times New Roman" w:eastAsia="Times New Roman" w:hAnsi="Times New Roman" w:cs="Times New Roman"/>
          <w:lang w:val="pt-BR"/>
        </w:rPr>
        <w:t>Administrativa Tributária</w:t>
      </w:r>
    </w:p>
    <w:p w14:paraId="6E16EF81" w14:textId="77777777" w:rsidR="00F85F9B" w:rsidRPr="00E95348" w:rsidRDefault="00000000">
      <w:pPr>
        <w:spacing w:after="859"/>
        <w:ind w:left="10" w:hanging="10"/>
        <w:jc w:val="both"/>
        <w:rPr>
          <w:lang w:val="pt-BR"/>
        </w:rPr>
      </w:pPr>
      <w:r w:rsidRPr="00E95348">
        <w:rPr>
          <w:rFonts w:ascii="Times New Roman" w:eastAsia="Times New Roman" w:hAnsi="Times New Roman" w:cs="Times New Roman"/>
          <w:lang w:val="pt-BR"/>
        </w:rPr>
        <w:t>Coordenação-Geral de Representação Judicial da Fazenda Nacional</w:t>
      </w:r>
    </w:p>
    <w:p w14:paraId="00EF1364" w14:textId="77777777" w:rsidR="00F85F9B" w:rsidRPr="00E95348" w:rsidRDefault="00000000">
      <w:pPr>
        <w:spacing w:after="683" w:line="260" w:lineRule="auto"/>
        <w:ind w:left="-5" w:hanging="10"/>
        <w:jc w:val="both"/>
        <w:rPr>
          <w:lang w:val="pt-BR"/>
        </w:rPr>
      </w:pPr>
      <w:r w:rsidRPr="00E95348">
        <w:rPr>
          <w:rFonts w:ascii="Times New Roman" w:eastAsia="Times New Roman" w:hAnsi="Times New Roman" w:cs="Times New Roman"/>
          <w:sz w:val="24"/>
          <w:lang w:val="pt-BR"/>
        </w:rPr>
        <w:t>Nota SEI nº 48/2018/CRJ/PGACET/PGFN-MF</w:t>
      </w:r>
    </w:p>
    <w:p w14:paraId="6EC7899D" w14:textId="77777777" w:rsidR="00F85F9B" w:rsidRPr="00E95348" w:rsidRDefault="00000000">
      <w:pPr>
        <w:spacing w:after="276"/>
        <w:ind w:left="5100"/>
        <w:rPr>
          <w:lang w:val="pt-BR"/>
        </w:rPr>
      </w:pPr>
      <w:r w:rsidRPr="00E95348">
        <w:rPr>
          <w:rFonts w:ascii="Times New Roman" w:eastAsia="Times New Roman" w:hAnsi="Times New Roman" w:cs="Times New Roman"/>
          <w:b/>
          <w:sz w:val="24"/>
          <w:lang w:val="pt-BR"/>
        </w:rPr>
        <w:t>Documento público. Ausência de sigilo.</w:t>
      </w:r>
    </w:p>
    <w:p w14:paraId="77F74544" w14:textId="77777777" w:rsidR="00F85F9B" w:rsidRPr="00E95348" w:rsidRDefault="00000000">
      <w:pPr>
        <w:spacing w:after="277" w:line="260" w:lineRule="auto"/>
        <w:ind w:left="5110" w:hanging="10"/>
        <w:jc w:val="both"/>
        <w:rPr>
          <w:lang w:val="pt-BR"/>
        </w:rPr>
      </w:pPr>
      <w:r w:rsidRPr="00E95348">
        <w:rPr>
          <w:rFonts w:ascii="Times New Roman" w:eastAsia="Times New Roman" w:hAnsi="Times New Roman" w:cs="Times New Roman"/>
          <w:sz w:val="24"/>
          <w:lang w:val="pt-BR"/>
        </w:rPr>
        <w:t>Imposto de Renda Pessoa Física. IRPF. Isenção sobre o ganho de capital nas operações de venda de imóvel residencial previstas no art. 39 da Lei nº 11.196, de 2005. Destinação do produto da venda, total ou parcialmente, à quitação ou amortização de financiamento de outro imóvel residencial que o alienante já possui.</w:t>
      </w:r>
    </w:p>
    <w:p w14:paraId="64294965" w14:textId="77777777" w:rsidR="00F85F9B" w:rsidRPr="00E95348" w:rsidRDefault="00000000">
      <w:pPr>
        <w:spacing w:after="277" w:line="260" w:lineRule="auto"/>
        <w:ind w:left="5110" w:hanging="10"/>
        <w:jc w:val="both"/>
        <w:rPr>
          <w:lang w:val="pt-BR"/>
        </w:rPr>
      </w:pPr>
      <w:r w:rsidRPr="00E95348">
        <w:rPr>
          <w:rFonts w:ascii="Times New Roman" w:eastAsia="Times New Roman" w:hAnsi="Times New Roman" w:cs="Times New Roman"/>
          <w:sz w:val="24"/>
          <w:lang w:val="pt-BR"/>
        </w:rPr>
        <w:t>Jurisprudência consolidada do STJ em sentido desfavorável à Fazenda Nacional. Inclusão na lista de dispensa de contestação e recursos de que trata o art. 2º, VII e §§4º e 5º, da Portaria PGFN nº 502, de 2016.</w:t>
      </w:r>
    </w:p>
    <w:p w14:paraId="1EF1A619" w14:textId="77777777" w:rsidR="00F85F9B" w:rsidRPr="00E95348" w:rsidRDefault="00000000">
      <w:pPr>
        <w:spacing w:after="565" w:line="260" w:lineRule="auto"/>
        <w:ind w:left="5110" w:hanging="10"/>
        <w:jc w:val="both"/>
        <w:rPr>
          <w:lang w:val="pt-BR"/>
        </w:rPr>
      </w:pPr>
      <w:r w:rsidRPr="00E95348">
        <w:rPr>
          <w:rFonts w:ascii="Times New Roman" w:eastAsia="Times New Roman" w:hAnsi="Times New Roman" w:cs="Times New Roman"/>
          <w:sz w:val="24"/>
          <w:lang w:val="pt-BR"/>
        </w:rPr>
        <w:t>Proposta de edição de ato declaratório do PGFN sobre a matéria. Oitiva prévia da RFB.</w:t>
      </w:r>
    </w:p>
    <w:p w14:paraId="377DD0F8" w14:textId="77777777" w:rsidR="00F85F9B" w:rsidRPr="00E95348" w:rsidRDefault="00000000">
      <w:pPr>
        <w:spacing w:after="395" w:line="260" w:lineRule="auto"/>
        <w:ind w:left="5110" w:hanging="10"/>
        <w:jc w:val="both"/>
        <w:rPr>
          <w:lang w:val="pt-BR"/>
        </w:rPr>
      </w:pPr>
      <w:r w:rsidRPr="00E95348">
        <w:rPr>
          <w:rFonts w:ascii="Times New Roman" w:eastAsia="Times New Roman" w:hAnsi="Times New Roman" w:cs="Times New Roman"/>
          <w:sz w:val="24"/>
          <w:lang w:val="pt-BR"/>
        </w:rPr>
        <w:t>Processo SEI nº 10951.101789/2018-67</w:t>
      </w:r>
    </w:p>
    <w:p w14:paraId="70C6834C" w14:textId="77777777" w:rsidR="00F85F9B" w:rsidRDefault="00000000">
      <w:pPr>
        <w:spacing w:after="134" w:line="265" w:lineRule="auto"/>
        <w:ind w:left="11" w:hanging="10"/>
        <w:jc w:val="center"/>
      </w:pPr>
      <w:r>
        <w:rPr>
          <w:rFonts w:ascii="Times New Roman" w:eastAsia="Times New Roman" w:hAnsi="Times New Roman" w:cs="Times New Roman"/>
          <w:b/>
          <w:sz w:val="24"/>
        </w:rPr>
        <w:t>I</w:t>
      </w:r>
    </w:p>
    <w:p w14:paraId="0AA7E636" w14:textId="77777777" w:rsidR="00F85F9B" w:rsidRPr="00E95348" w:rsidRDefault="00000000">
      <w:pPr>
        <w:numPr>
          <w:ilvl w:val="0"/>
          <w:numId w:val="1"/>
        </w:numPr>
        <w:spacing w:after="353" w:line="260" w:lineRule="auto"/>
        <w:ind w:hanging="1418"/>
        <w:jc w:val="both"/>
        <w:rPr>
          <w:lang w:val="pt-BR"/>
        </w:rPr>
      </w:pPr>
      <w:r w:rsidRPr="00E95348">
        <w:rPr>
          <w:rFonts w:ascii="Times New Roman" w:eastAsia="Times New Roman" w:hAnsi="Times New Roman" w:cs="Times New Roman"/>
          <w:sz w:val="24"/>
          <w:lang w:val="pt-BR"/>
        </w:rPr>
        <w:t>Trata-se de mensagem eletrônica oriunda da Coordenação de Atuação da Fazenda Nacional perante o Superior Tribunal de Justiça (CASTJ), datada de 26 de março de 2018, que propõe que esta Coordenação-Geral de Representação Judicial da Procuradoria-Geral da Fazenda Nacional (CRJ/PGFN) examine, nos termos do art. 2º, §§ 4º e 5º, da Portaria PGFN nº 502, de 2016, a viabilidade de incluir na lista nacional de dispensa de contestar e recorrer o seguinte tema:</w:t>
      </w:r>
    </w:p>
    <w:p w14:paraId="663752CC" w14:textId="77777777" w:rsidR="00F85F9B" w:rsidRPr="00E95348" w:rsidRDefault="00000000">
      <w:pPr>
        <w:spacing w:after="304"/>
        <w:ind w:left="2263" w:hanging="10"/>
        <w:jc w:val="both"/>
        <w:rPr>
          <w:lang w:val="pt-BR"/>
        </w:rPr>
      </w:pPr>
      <w:r w:rsidRPr="00E95348">
        <w:rPr>
          <w:rFonts w:ascii="Times New Roman" w:eastAsia="Times New Roman" w:hAnsi="Times New Roman" w:cs="Times New Roman"/>
          <w:lang w:val="pt-BR"/>
        </w:rPr>
        <w:t>“IRPF.  A isenção prevista no art. 39, § 2º, da Lei n. 11.196/05, alcança as hipóteses nas quais o produto da venda de imóvel por pessoa física seja destinado, total ou parcialmente, à quitação ou amortização de financiamento de outro imóvel residencial que o alienante já possui. Precedente. Ilegalidade do art. 2º, § 11, inciso I, da Instrução Normativa SRF n. 599/05”.</w:t>
      </w:r>
    </w:p>
    <w:p w14:paraId="73704A40" w14:textId="77777777" w:rsidR="00F85F9B" w:rsidRDefault="00000000">
      <w:pPr>
        <w:numPr>
          <w:ilvl w:val="0"/>
          <w:numId w:val="1"/>
        </w:numPr>
        <w:spacing w:after="0" w:line="260" w:lineRule="auto"/>
        <w:ind w:hanging="1418"/>
        <w:jc w:val="both"/>
      </w:pPr>
      <w:r w:rsidRPr="00E95348">
        <w:rPr>
          <w:rFonts w:ascii="Times New Roman" w:eastAsia="Times New Roman" w:hAnsi="Times New Roman" w:cs="Times New Roman"/>
          <w:sz w:val="24"/>
          <w:lang w:val="pt-BR"/>
        </w:rPr>
        <w:t xml:space="preserve">A fim de demonstrar o entendimento pacífico das Turmas de Direito Público do Superior Tribunal de Justiça em sentido desfavorável à Fazenda Nacional, a CASTJ indica os seguintes </w:t>
      </w:r>
      <w:r w:rsidRPr="00E95348">
        <w:rPr>
          <w:rFonts w:ascii="Times New Roman" w:eastAsia="Times New Roman" w:hAnsi="Times New Roman" w:cs="Times New Roman"/>
          <w:i/>
          <w:sz w:val="24"/>
          <w:lang w:val="pt-BR"/>
        </w:rPr>
        <w:t>leading cases</w:t>
      </w:r>
      <w:r w:rsidRPr="00E95348">
        <w:rPr>
          <w:rFonts w:ascii="Times New Roman" w:eastAsia="Times New Roman" w:hAnsi="Times New Roman" w:cs="Times New Roman"/>
          <w:sz w:val="24"/>
          <w:lang w:val="pt-BR"/>
        </w:rPr>
        <w:t xml:space="preserve">: REsp 1668268/SP, Rel. </w:t>
      </w:r>
      <w:r>
        <w:rPr>
          <w:rFonts w:ascii="Times New Roman" w:eastAsia="Times New Roman" w:hAnsi="Times New Roman" w:cs="Times New Roman"/>
          <w:sz w:val="24"/>
        </w:rPr>
        <w:t xml:space="preserve">Ministra REGINA HELENA COSTA, PRIMEIRA TURMA, julgado em 13/03/2018, DJe 22/03/2018; REsp 1469478/SC, Rel. </w:t>
      </w:r>
      <w:r>
        <w:rPr>
          <w:rFonts w:ascii="Times New Roman" w:eastAsia="Times New Roman" w:hAnsi="Times New Roman" w:cs="Times New Roman"/>
          <w:sz w:val="24"/>
        </w:rPr>
        <w:lastRenderedPageBreak/>
        <w:t>Ministro HERMAN BENJAMIN, Rel. p/ Acórdão Ministro MAURO CAMPBELL MARQUES, SEGUNDA TURMA, julgado em 25/10/2016, DJe</w:t>
      </w:r>
    </w:p>
    <w:p w14:paraId="35DD79E7" w14:textId="77777777" w:rsidR="00F85F9B" w:rsidRDefault="00000000">
      <w:pPr>
        <w:spacing w:after="140" w:line="260" w:lineRule="auto"/>
        <w:ind w:left="-5" w:hanging="10"/>
        <w:jc w:val="both"/>
      </w:pPr>
      <w:r>
        <w:rPr>
          <w:rFonts w:ascii="Times New Roman" w:eastAsia="Times New Roman" w:hAnsi="Times New Roman" w:cs="Times New Roman"/>
          <w:sz w:val="24"/>
        </w:rPr>
        <w:t>19/12/2016.</w:t>
      </w:r>
    </w:p>
    <w:p w14:paraId="0C9A681D" w14:textId="77777777" w:rsidR="00F85F9B" w:rsidRDefault="00000000">
      <w:pPr>
        <w:numPr>
          <w:ilvl w:val="0"/>
          <w:numId w:val="1"/>
        </w:numPr>
        <w:spacing w:after="773" w:line="260" w:lineRule="auto"/>
        <w:ind w:hanging="1418"/>
        <w:jc w:val="both"/>
      </w:pPr>
      <w:r w:rsidRPr="00E95348">
        <w:rPr>
          <w:rFonts w:ascii="Times New Roman" w:eastAsia="Times New Roman" w:hAnsi="Times New Roman" w:cs="Times New Roman"/>
          <w:sz w:val="24"/>
          <w:lang w:val="pt-BR"/>
        </w:rPr>
        <w:t xml:space="preserve">É a breve síntese da consulta. </w:t>
      </w:r>
      <w:r>
        <w:rPr>
          <w:rFonts w:ascii="Times New Roman" w:eastAsia="Times New Roman" w:hAnsi="Times New Roman" w:cs="Times New Roman"/>
          <w:sz w:val="24"/>
        </w:rPr>
        <w:t>Passamos a examiná-la.</w:t>
      </w:r>
    </w:p>
    <w:p w14:paraId="1A98E82B" w14:textId="77777777" w:rsidR="00F85F9B" w:rsidRDefault="00000000">
      <w:pPr>
        <w:spacing w:after="794" w:line="265" w:lineRule="auto"/>
        <w:ind w:left="11" w:right="2" w:hanging="10"/>
        <w:jc w:val="center"/>
      </w:pPr>
      <w:r>
        <w:rPr>
          <w:rFonts w:ascii="Times New Roman" w:eastAsia="Times New Roman" w:hAnsi="Times New Roman" w:cs="Times New Roman"/>
          <w:b/>
          <w:sz w:val="24"/>
        </w:rPr>
        <w:t>II</w:t>
      </w:r>
    </w:p>
    <w:p w14:paraId="770F85F8" w14:textId="77777777" w:rsidR="00F85F9B" w:rsidRDefault="00000000">
      <w:pPr>
        <w:numPr>
          <w:ilvl w:val="0"/>
          <w:numId w:val="1"/>
        </w:numPr>
        <w:spacing w:after="356" w:line="260" w:lineRule="auto"/>
        <w:ind w:hanging="1418"/>
        <w:jc w:val="both"/>
      </w:pPr>
      <w:r w:rsidRPr="00E95348">
        <w:rPr>
          <w:rFonts w:ascii="Times New Roman" w:eastAsia="Times New Roman" w:hAnsi="Times New Roman" w:cs="Times New Roman"/>
          <w:sz w:val="24"/>
          <w:lang w:val="pt-BR"/>
        </w:rPr>
        <w:t xml:space="preserve">A controvérsia jurídica gravita, em breves linhas, em torno da eventual ilegalidade do art. 2º, §11, I, da Instrução Normativa SRF nº 599, de 28 de dezembro de 2005, que veda expressamente o gozo da isenção do Imposto de Renda Pessoa Física (IRPF) sobre o ganho de capital decorrente da venda de imóvel, prevista no art. 39 da Lei nº 11.196, de 21 de novembro de 2005, quando o produto da venda for empregado para quitação ou amortização de financiamento de outro imóvel residencial que o alienante já possuía anteriormente. </w:t>
      </w:r>
      <w:r>
        <w:rPr>
          <w:rFonts w:ascii="Times New Roman" w:eastAsia="Times New Roman" w:hAnsi="Times New Roman" w:cs="Times New Roman"/>
          <w:sz w:val="24"/>
        </w:rPr>
        <w:t>Transcrevem-se, por oportuno, os dispositivos legais discutidos:</w:t>
      </w:r>
    </w:p>
    <w:p w14:paraId="29937ED2" w14:textId="77777777" w:rsidR="00F85F9B" w:rsidRPr="00E95348" w:rsidRDefault="00000000">
      <w:pPr>
        <w:pStyle w:val="Heading1"/>
        <w:ind w:left="2263"/>
        <w:rPr>
          <w:lang w:val="pt-BR"/>
        </w:rPr>
      </w:pPr>
      <w:r w:rsidRPr="00E95348">
        <w:rPr>
          <w:lang w:val="pt-BR"/>
        </w:rPr>
        <w:t>Lei nº 11.196, de 21 de novembro de 2005</w:t>
      </w:r>
    </w:p>
    <w:p w14:paraId="1A74FE5B" w14:textId="77777777" w:rsidR="00F85F9B" w:rsidRPr="00E95348" w:rsidRDefault="00000000">
      <w:pPr>
        <w:spacing w:after="41"/>
        <w:ind w:left="2263" w:hanging="10"/>
        <w:jc w:val="both"/>
        <w:rPr>
          <w:lang w:val="pt-BR"/>
        </w:rPr>
      </w:pPr>
      <w:r w:rsidRPr="00E95348">
        <w:rPr>
          <w:rFonts w:ascii="Times New Roman" w:eastAsia="Times New Roman" w:hAnsi="Times New Roman" w:cs="Times New Roman"/>
          <w:lang w:val="pt-BR"/>
        </w:rPr>
        <w:t xml:space="preserve">Art. 39. Fica isento do imposto de renda o ganho auferido por pessoa física residente no País na venda de imóveis residenciais, desde que o alienante, no prazo de 180 (cento e oitenta) dias contado da celebração do contrato, aplique o produto da venda na aquisição de imóveis residenciais localizados no País.     </w:t>
      </w:r>
    </w:p>
    <w:p w14:paraId="154EA827" w14:textId="77777777" w:rsidR="00F85F9B" w:rsidRPr="00E95348" w:rsidRDefault="00000000">
      <w:pPr>
        <w:spacing w:after="1" w:line="322" w:lineRule="auto"/>
        <w:ind w:left="2263" w:hanging="10"/>
        <w:jc w:val="both"/>
        <w:rPr>
          <w:lang w:val="pt-BR"/>
        </w:rPr>
      </w:pPr>
      <w:r w:rsidRPr="00E95348">
        <w:rPr>
          <w:rFonts w:ascii="Times New Roman" w:eastAsia="Times New Roman" w:hAnsi="Times New Roman" w:cs="Times New Roman"/>
          <w:lang w:val="pt-BR"/>
        </w:rPr>
        <w:t>§ 1</w:t>
      </w:r>
      <w:r w:rsidRPr="00E95348">
        <w:rPr>
          <w:rFonts w:ascii="Times New Roman" w:eastAsia="Times New Roman" w:hAnsi="Times New Roman" w:cs="Times New Roman"/>
          <w:vertAlign w:val="superscript"/>
          <w:lang w:val="pt-BR"/>
        </w:rPr>
        <w:t>o</w:t>
      </w:r>
      <w:r>
        <w:rPr>
          <w:noProof/>
        </w:rPr>
        <mc:AlternateContent>
          <mc:Choice Requires="wpg">
            <w:drawing>
              <wp:inline distT="0" distB="0" distL="0" distR="0" wp14:anchorId="69505CCB" wp14:editId="4B04D301">
                <wp:extent cx="56388" cy="6096"/>
                <wp:effectExtent l="0" t="0" r="0" b="0"/>
                <wp:docPr id="6413" name="Group 6413"/>
                <wp:cNvGraphicFramePr/>
                <a:graphic xmlns:a="http://schemas.openxmlformats.org/drawingml/2006/main">
                  <a:graphicData uri="http://schemas.microsoft.com/office/word/2010/wordprocessingGroup">
                    <wpg:wgp>
                      <wpg:cNvGrpSpPr/>
                      <wpg:grpSpPr>
                        <a:xfrm>
                          <a:off x="0" y="0"/>
                          <a:ext cx="56388" cy="6096"/>
                          <a:chOff x="0" y="0"/>
                          <a:chExt cx="56388" cy="6096"/>
                        </a:xfrm>
                      </wpg:grpSpPr>
                      <wps:wsp>
                        <wps:cNvPr id="87" name="Shape 87"/>
                        <wps:cNvSpPr/>
                        <wps:spPr>
                          <a:xfrm>
                            <a:off x="0" y="0"/>
                            <a:ext cx="56388" cy="0"/>
                          </a:xfrm>
                          <a:custGeom>
                            <a:avLst/>
                            <a:gdLst/>
                            <a:ahLst/>
                            <a:cxnLst/>
                            <a:rect l="0" t="0" r="0" b="0"/>
                            <a:pathLst>
                              <a:path w="56388">
                                <a:moveTo>
                                  <a:pt x="0" y="0"/>
                                </a:moveTo>
                                <a:lnTo>
                                  <a:pt x="56388"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13" style="width:4.44pt;height:0.48pt;mso-position-horizontal-relative:char;mso-position-vertical-relative:line" coordsize="563,60">
                <v:shape id="Shape 87" style="position:absolute;width:563;height:0;left:0;top:0;" coordsize="56388,0" path="m0,0l56388,0">
                  <v:stroke weight="0.48pt" endcap="flat" joinstyle="miter" miterlimit="10" on="true" color="#000000"/>
                  <v:fill on="false" color="#000000" opacity="0"/>
                </v:shape>
              </v:group>
            </w:pict>
          </mc:Fallback>
        </mc:AlternateContent>
      </w:r>
      <w:r w:rsidRPr="00E95348">
        <w:rPr>
          <w:rFonts w:ascii="Times New Roman" w:eastAsia="Times New Roman" w:hAnsi="Times New Roman" w:cs="Times New Roman"/>
          <w:lang w:val="pt-BR"/>
        </w:rPr>
        <w:t xml:space="preserve"> No caso de venda de mais de 1 (um) imóvel, o prazo referido neste artigo será contado a partir da data de celebração do contrato relativo à 1</w:t>
      </w:r>
      <w:r w:rsidRPr="00E95348">
        <w:rPr>
          <w:rFonts w:ascii="Times New Roman" w:eastAsia="Times New Roman" w:hAnsi="Times New Roman" w:cs="Times New Roman"/>
          <w:vertAlign w:val="superscript"/>
          <w:lang w:val="pt-BR"/>
        </w:rPr>
        <w:t>a</w:t>
      </w:r>
      <w:r>
        <w:rPr>
          <w:noProof/>
        </w:rPr>
        <mc:AlternateContent>
          <mc:Choice Requires="wpg">
            <w:drawing>
              <wp:inline distT="0" distB="0" distL="0" distR="0" wp14:anchorId="131F9F7D" wp14:editId="3F3634E2">
                <wp:extent cx="44196" cy="6096"/>
                <wp:effectExtent l="0" t="0" r="0" b="0"/>
                <wp:docPr id="6414" name="Group 6414"/>
                <wp:cNvGraphicFramePr/>
                <a:graphic xmlns:a="http://schemas.openxmlformats.org/drawingml/2006/main">
                  <a:graphicData uri="http://schemas.microsoft.com/office/word/2010/wordprocessingGroup">
                    <wpg:wgp>
                      <wpg:cNvGrpSpPr/>
                      <wpg:grpSpPr>
                        <a:xfrm>
                          <a:off x="0" y="0"/>
                          <a:ext cx="44196" cy="6096"/>
                          <a:chOff x="0" y="0"/>
                          <a:chExt cx="44196" cy="6096"/>
                        </a:xfrm>
                      </wpg:grpSpPr>
                      <wps:wsp>
                        <wps:cNvPr id="91" name="Shape 91"/>
                        <wps:cNvSpPr/>
                        <wps:spPr>
                          <a:xfrm>
                            <a:off x="0" y="0"/>
                            <a:ext cx="44196" cy="0"/>
                          </a:xfrm>
                          <a:custGeom>
                            <a:avLst/>
                            <a:gdLst/>
                            <a:ahLst/>
                            <a:cxnLst/>
                            <a:rect l="0" t="0" r="0" b="0"/>
                            <a:pathLst>
                              <a:path w="44196">
                                <a:moveTo>
                                  <a:pt x="0" y="0"/>
                                </a:moveTo>
                                <a:lnTo>
                                  <a:pt x="44196"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14" style="width:3.48001pt;height:0.48pt;mso-position-horizontal-relative:char;mso-position-vertical-relative:line" coordsize="441,60">
                <v:shape id="Shape 91" style="position:absolute;width:441;height:0;left:0;top:0;" coordsize="44196,0" path="m0,0l44196,0">
                  <v:stroke weight="0.48pt" endcap="flat" joinstyle="miter" miterlimit="10" on="true" color="#000000"/>
                  <v:fill on="false" color="#000000" opacity="0"/>
                </v:shape>
              </v:group>
            </w:pict>
          </mc:Fallback>
        </mc:AlternateContent>
      </w:r>
      <w:r w:rsidRPr="00E95348">
        <w:rPr>
          <w:rFonts w:ascii="Times New Roman" w:eastAsia="Times New Roman" w:hAnsi="Times New Roman" w:cs="Times New Roman"/>
          <w:lang w:val="pt-BR"/>
        </w:rPr>
        <w:t xml:space="preserve"> (primeira) operação.</w:t>
      </w:r>
    </w:p>
    <w:p w14:paraId="05959166" w14:textId="77777777" w:rsidR="00F85F9B" w:rsidRPr="00E95348" w:rsidRDefault="00000000">
      <w:pPr>
        <w:spacing w:after="38"/>
        <w:ind w:left="2263" w:hanging="10"/>
        <w:jc w:val="both"/>
        <w:rPr>
          <w:lang w:val="pt-BR"/>
        </w:rPr>
      </w:pPr>
      <w:r w:rsidRPr="00E95348">
        <w:rPr>
          <w:rFonts w:ascii="Times New Roman" w:eastAsia="Times New Roman" w:hAnsi="Times New Roman" w:cs="Times New Roman"/>
          <w:lang w:val="pt-BR"/>
        </w:rPr>
        <w:t>§ 2</w:t>
      </w:r>
      <w:r w:rsidRPr="00E95348">
        <w:rPr>
          <w:rFonts w:ascii="Times New Roman" w:eastAsia="Times New Roman" w:hAnsi="Times New Roman" w:cs="Times New Roman"/>
          <w:vertAlign w:val="superscript"/>
          <w:lang w:val="pt-BR"/>
        </w:rPr>
        <w:t>o</w:t>
      </w:r>
      <w:r w:rsidRPr="00E95348">
        <w:rPr>
          <w:rFonts w:ascii="Times New Roman" w:eastAsia="Times New Roman" w:hAnsi="Times New Roman" w:cs="Times New Roman"/>
          <w:lang w:val="pt-BR"/>
        </w:rPr>
        <w:t xml:space="preserve"> A aplicação parcial do produto da venda implicará tributação do ganho proporcionalmente ao valor da parcela não aplicada.</w:t>
      </w:r>
    </w:p>
    <w:p w14:paraId="55F7B67E" w14:textId="77777777" w:rsidR="00F85F9B" w:rsidRPr="00E95348" w:rsidRDefault="00000000">
      <w:pPr>
        <w:spacing w:after="37"/>
        <w:ind w:left="2263" w:hanging="10"/>
        <w:jc w:val="both"/>
        <w:rPr>
          <w:lang w:val="pt-BR"/>
        </w:rPr>
      </w:pPr>
      <w:r w:rsidRPr="00E95348">
        <w:rPr>
          <w:rFonts w:ascii="Times New Roman" w:eastAsia="Times New Roman" w:hAnsi="Times New Roman" w:cs="Times New Roman"/>
          <w:lang w:val="pt-BR"/>
        </w:rPr>
        <w:t>§ 3</w:t>
      </w:r>
      <w:r w:rsidRPr="00E95348">
        <w:rPr>
          <w:rFonts w:ascii="Times New Roman" w:eastAsia="Times New Roman" w:hAnsi="Times New Roman" w:cs="Times New Roman"/>
          <w:vertAlign w:val="superscript"/>
          <w:lang w:val="pt-BR"/>
        </w:rPr>
        <w:t>o</w:t>
      </w:r>
      <w:r w:rsidRPr="00E95348">
        <w:rPr>
          <w:rFonts w:ascii="Times New Roman" w:eastAsia="Times New Roman" w:hAnsi="Times New Roman" w:cs="Times New Roman"/>
          <w:lang w:val="pt-BR"/>
        </w:rPr>
        <w:t xml:space="preserve"> No caso de aquisição de mais de um imóvel, a isenção de que trata este artigo aplicar-se-á ao ganho de capital correspondente apenas à parcela empregada na aquisição de imóveis residenciais.</w:t>
      </w:r>
    </w:p>
    <w:p w14:paraId="1B20E1B5" w14:textId="77777777" w:rsidR="00F85F9B" w:rsidRPr="00E95348" w:rsidRDefault="00000000">
      <w:pPr>
        <w:spacing w:after="37"/>
        <w:ind w:left="2263" w:hanging="10"/>
        <w:jc w:val="both"/>
        <w:rPr>
          <w:lang w:val="pt-BR"/>
        </w:rPr>
      </w:pPr>
      <w:r w:rsidRPr="00E95348">
        <w:rPr>
          <w:rFonts w:ascii="Times New Roman" w:eastAsia="Times New Roman" w:hAnsi="Times New Roman" w:cs="Times New Roman"/>
          <w:lang w:val="pt-BR"/>
        </w:rPr>
        <w:t>§ 4</w:t>
      </w:r>
      <w:r w:rsidRPr="00E95348">
        <w:rPr>
          <w:rFonts w:ascii="Times New Roman" w:eastAsia="Times New Roman" w:hAnsi="Times New Roman" w:cs="Times New Roman"/>
          <w:vertAlign w:val="superscript"/>
          <w:lang w:val="pt-BR"/>
        </w:rPr>
        <w:t>o</w:t>
      </w:r>
      <w:r w:rsidRPr="00E95348">
        <w:rPr>
          <w:rFonts w:ascii="Times New Roman" w:eastAsia="Times New Roman" w:hAnsi="Times New Roman" w:cs="Times New Roman"/>
          <w:lang w:val="pt-BR"/>
        </w:rPr>
        <w:t xml:space="preserve"> A inobservância das condições estabelecidas neste artigo importará em exigência do imposto com base no ganho de capital, acrescido de:</w:t>
      </w:r>
    </w:p>
    <w:p w14:paraId="577F9FBD" w14:textId="77777777" w:rsidR="00F85F9B" w:rsidRPr="00E95348" w:rsidRDefault="00000000">
      <w:pPr>
        <w:numPr>
          <w:ilvl w:val="0"/>
          <w:numId w:val="2"/>
        </w:numPr>
        <w:spacing w:after="37"/>
        <w:ind w:hanging="10"/>
        <w:jc w:val="both"/>
        <w:rPr>
          <w:lang w:val="pt-BR"/>
        </w:rPr>
      </w:pPr>
      <w:r w:rsidRPr="00E95348">
        <w:rPr>
          <w:rFonts w:ascii="Times New Roman" w:eastAsia="Times New Roman" w:hAnsi="Times New Roman" w:cs="Times New Roman"/>
          <w:lang w:val="pt-BR"/>
        </w:rPr>
        <w:t>- juros de mora, calculados a partir do 2</w:t>
      </w:r>
      <w:r w:rsidRPr="00E95348">
        <w:rPr>
          <w:rFonts w:ascii="Times New Roman" w:eastAsia="Times New Roman" w:hAnsi="Times New Roman" w:cs="Times New Roman"/>
          <w:vertAlign w:val="superscript"/>
          <w:lang w:val="pt-BR"/>
        </w:rPr>
        <w:t>o</w:t>
      </w:r>
      <w:r w:rsidRPr="00E95348">
        <w:rPr>
          <w:rFonts w:ascii="Times New Roman" w:eastAsia="Times New Roman" w:hAnsi="Times New Roman" w:cs="Times New Roman"/>
          <w:lang w:val="pt-BR"/>
        </w:rPr>
        <w:t xml:space="preserve"> (segundo) mês subseqüente ao do recebimento do valor ou de parcela do valor do imóvel vendido; e</w:t>
      </w:r>
    </w:p>
    <w:p w14:paraId="561FFE55" w14:textId="77777777" w:rsidR="00F85F9B" w:rsidRPr="00E95348" w:rsidRDefault="00000000">
      <w:pPr>
        <w:numPr>
          <w:ilvl w:val="0"/>
          <w:numId w:val="2"/>
        </w:numPr>
        <w:spacing w:after="37"/>
        <w:ind w:hanging="10"/>
        <w:jc w:val="both"/>
        <w:rPr>
          <w:lang w:val="pt-BR"/>
        </w:rPr>
      </w:pPr>
      <w:r w:rsidRPr="00E95348">
        <w:rPr>
          <w:rFonts w:ascii="Times New Roman" w:eastAsia="Times New Roman" w:hAnsi="Times New Roman" w:cs="Times New Roman"/>
          <w:lang w:val="pt-BR"/>
        </w:rPr>
        <w:t>- multa, de mora ou de ofício, calculada a partir do 2</w:t>
      </w:r>
      <w:r w:rsidRPr="00E95348">
        <w:rPr>
          <w:rFonts w:ascii="Times New Roman" w:eastAsia="Times New Roman" w:hAnsi="Times New Roman" w:cs="Times New Roman"/>
          <w:vertAlign w:val="superscript"/>
          <w:lang w:val="pt-BR"/>
        </w:rPr>
        <w:t>o</w:t>
      </w:r>
      <w:r w:rsidRPr="00E95348">
        <w:rPr>
          <w:rFonts w:ascii="Times New Roman" w:eastAsia="Times New Roman" w:hAnsi="Times New Roman" w:cs="Times New Roman"/>
          <w:lang w:val="pt-BR"/>
        </w:rPr>
        <w:t xml:space="preserve"> (segundo) mês seguinte ao do recebimento do valor ou de parcela do valor do imóvel vendido, se o imposto não for pago até 30 (trinta) dias após o prazo de que trata o caput deste artigo.</w:t>
      </w:r>
    </w:p>
    <w:p w14:paraId="246CF991" w14:textId="77777777" w:rsidR="00F85F9B" w:rsidRPr="00E95348" w:rsidRDefault="00000000">
      <w:pPr>
        <w:spacing w:after="778"/>
        <w:ind w:left="2263" w:hanging="10"/>
        <w:jc w:val="both"/>
        <w:rPr>
          <w:lang w:val="pt-BR"/>
        </w:rPr>
      </w:pPr>
      <w:r w:rsidRPr="00E95348">
        <w:rPr>
          <w:rFonts w:ascii="Times New Roman" w:eastAsia="Times New Roman" w:hAnsi="Times New Roman" w:cs="Times New Roman"/>
          <w:lang w:val="pt-BR"/>
        </w:rPr>
        <w:t>§ 5</w:t>
      </w:r>
      <w:r w:rsidRPr="00E95348">
        <w:rPr>
          <w:rFonts w:ascii="Times New Roman" w:eastAsia="Times New Roman" w:hAnsi="Times New Roman" w:cs="Times New Roman"/>
          <w:vertAlign w:val="superscript"/>
          <w:lang w:val="pt-BR"/>
        </w:rPr>
        <w:t>o</w:t>
      </w:r>
      <w:r w:rsidRPr="00E95348">
        <w:rPr>
          <w:rFonts w:ascii="Times New Roman" w:eastAsia="Times New Roman" w:hAnsi="Times New Roman" w:cs="Times New Roman"/>
          <w:lang w:val="pt-BR"/>
        </w:rPr>
        <w:t xml:space="preserve"> O contribuinte somente poderá usufruir do benefício de que trata este artigo 1 (uma) vez a cada 5 (cinco) anos.</w:t>
      </w:r>
    </w:p>
    <w:p w14:paraId="03AEFEBB" w14:textId="77777777" w:rsidR="00F85F9B" w:rsidRPr="00E95348" w:rsidRDefault="00000000">
      <w:pPr>
        <w:pStyle w:val="Heading1"/>
        <w:ind w:left="2263"/>
        <w:rPr>
          <w:lang w:val="pt-BR"/>
        </w:rPr>
      </w:pPr>
      <w:r w:rsidRPr="00E95348">
        <w:rPr>
          <w:lang w:val="pt-BR"/>
        </w:rPr>
        <w:t>Instrução Normativa SRF nº 599, de 28 de dezembro de 2005</w:t>
      </w:r>
    </w:p>
    <w:p w14:paraId="6B6EF13F" w14:textId="77777777" w:rsidR="00F85F9B" w:rsidRPr="00E95348" w:rsidRDefault="00000000">
      <w:pPr>
        <w:spacing w:after="253"/>
        <w:ind w:left="2263" w:hanging="10"/>
        <w:jc w:val="both"/>
        <w:rPr>
          <w:lang w:val="pt-BR"/>
        </w:rPr>
      </w:pPr>
      <w:r w:rsidRPr="00E95348">
        <w:rPr>
          <w:rFonts w:ascii="Times New Roman" w:eastAsia="Times New Roman" w:hAnsi="Times New Roman" w:cs="Times New Roman"/>
          <w:lang w:val="pt-BR"/>
        </w:rPr>
        <w:t>Art. 2º Fica isento do imposto de renda o ganho auferido por pessoa física residente no País na venda de imóveis residenciais, desde que o alienante, no prazo de 180 (cento e oitenta) dias contado da celebração do contrato, aplique o produto da venda na aquisição, em seu nome, de imóveis residenciais localizados no País.</w:t>
      </w:r>
    </w:p>
    <w:p w14:paraId="1A29E943" w14:textId="77777777" w:rsidR="00F85F9B" w:rsidRPr="00E95348" w:rsidRDefault="00000000">
      <w:pPr>
        <w:spacing w:after="257" w:line="253" w:lineRule="auto"/>
        <w:ind w:left="2263" w:hanging="10"/>
        <w:jc w:val="both"/>
        <w:rPr>
          <w:lang w:val="pt-BR"/>
        </w:rPr>
      </w:pPr>
      <w:r w:rsidRPr="00E95348">
        <w:rPr>
          <w:rFonts w:ascii="Times New Roman" w:eastAsia="Times New Roman" w:hAnsi="Times New Roman" w:cs="Times New Roman"/>
          <w:b/>
          <w:lang w:val="pt-BR"/>
        </w:rPr>
        <w:t>§ 11. O disposto neste artigo não se aplica, dentre outros:</w:t>
      </w:r>
    </w:p>
    <w:p w14:paraId="54E66E0E" w14:textId="77777777" w:rsidR="00F85F9B" w:rsidRPr="00E95348" w:rsidRDefault="00000000">
      <w:pPr>
        <w:spacing w:after="259" w:line="253" w:lineRule="auto"/>
        <w:ind w:left="2263" w:hanging="10"/>
        <w:jc w:val="both"/>
        <w:rPr>
          <w:lang w:val="pt-BR"/>
        </w:rPr>
      </w:pPr>
      <w:r w:rsidRPr="00E95348">
        <w:rPr>
          <w:rFonts w:ascii="Times New Roman" w:eastAsia="Times New Roman" w:hAnsi="Times New Roman" w:cs="Times New Roman"/>
          <w:b/>
          <w:lang w:val="pt-BR"/>
        </w:rPr>
        <w:lastRenderedPageBreak/>
        <w:t>I - à hipótese de venda de imóvel residencial com o objetivo de quitar, total ou parcialmente, débito remanescente de aquisição a prazo ou à prestação de imóvel residencial já possuído pelo alienante;</w:t>
      </w:r>
    </w:p>
    <w:p w14:paraId="2718EA33" w14:textId="77777777" w:rsidR="00F85F9B" w:rsidRDefault="00000000">
      <w:pPr>
        <w:spacing w:after="3" w:line="253" w:lineRule="auto"/>
        <w:ind w:left="2263" w:hanging="10"/>
        <w:jc w:val="both"/>
      </w:pPr>
      <w:r>
        <w:rPr>
          <w:rFonts w:ascii="Times New Roman" w:eastAsia="Times New Roman" w:hAnsi="Times New Roman" w:cs="Times New Roman"/>
          <w:b/>
        </w:rPr>
        <w:t>(destacou-se)</w:t>
      </w:r>
    </w:p>
    <w:p w14:paraId="01DD7B93" w14:textId="77777777" w:rsidR="00F85F9B" w:rsidRPr="00E95348" w:rsidRDefault="00000000">
      <w:pPr>
        <w:numPr>
          <w:ilvl w:val="0"/>
          <w:numId w:val="3"/>
        </w:numPr>
        <w:spacing w:after="140" w:line="260" w:lineRule="auto"/>
        <w:ind w:hanging="10"/>
        <w:jc w:val="both"/>
        <w:rPr>
          <w:lang w:val="pt-BR"/>
        </w:rPr>
      </w:pPr>
      <w:r w:rsidRPr="00E95348">
        <w:rPr>
          <w:rFonts w:ascii="Times New Roman" w:eastAsia="Times New Roman" w:hAnsi="Times New Roman" w:cs="Times New Roman"/>
          <w:sz w:val="24"/>
          <w:lang w:val="pt-BR"/>
        </w:rPr>
        <w:t>De acordo com a tese defendida pela Fazenda Nacional, não haveria qualquer ilegalidade no art. 2º, §11, I, da IN nº 599, de 2005, uma vez que o art. 39 da Lei nº 11.196, de 2005, ao institui a isenção de IR sobre o ganho de capital, pressupõe que o produto da venda do imóvel anterior seja empregado para aquisição de novo imóvel residencial localizado no país. Sustentava-se que o objetivo da norma isentiva, conforme exposição de motivos do projeto de conversão da MP nº 252, de 2005</w:t>
      </w:r>
      <w:r w:rsidRPr="00E95348">
        <w:rPr>
          <w:rFonts w:ascii="Times New Roman" w:eastAsia="Times New Roman" w:hAnsi="Times New Roman" w:cs="Times New Roman"/>
          <w:color w:val="0000EE"/>
          <w:sz w:val="30"/>
          <w:u w:val="single" w:color="0000EE"/>
          <w:vertAlign w:val="superscript"/>
          <w:lang w:val="pt-BR"/>
        </w:rPr>
        <w:t>[1]</w:t>
      </w:r>
      <w:r w:rsidRPr="00E95348">
        <w:rPr>
          <w:rFonts w:ascii="Times New Roman" w:eastAsia="Times New Roman" w:hAnsi="Times New Roman" w:cs="Times New Roman"/>
          <w:sz w:val="24"/>
          <w:lang w:val="pt-BR"/>
        </w:rPr>
        <w:t>, era dinamizar o mercado imobiliário, estimular o financiamento de imóveis e a construção de novas unidades, não se referindo, portanto, às operações já existentes.</w:t>
      </w:r>
    </w:p>
    <w:p w14:paraId="28DA7019" w14:textId="77777777" w:rsidR="00F85F9B" w:rsidRPr="00E95348" w:rsidRDefault="00000000">
      <w:pPr>
        <w:numPr>
          <w:ilvl w:val="0"/>
          <w:numId w:val="3"/>
        </w:numPr>
        <w:spacing w:after="140" w:line="260" w:lineRule="auto"/>
        <w:ind w:hanging="10"/>
        <w:jc w:val="both"/>
        <w:rPr>
          <w:lang w:val="pt-BR"/>
        </w:rPr>
      </w:pPr>
      <w:r w:rsidRPr="00E95348">
        <w:rPr>
          <w:rFonts w:ascii="Times New Roman" w:eastAsia="Times New Roman" w:hAnsi="Times New Roman" w:cs="Times New Roman"/>
          <w:sz w:val="24"/>
          <w:lang w:val="pt-BR"/>
        </w:rPr>
        <w:t xml:space="preserve">Nessa perspectiva, admitir a aplicação dos recursos para pagamento de débito remanescente de financiamento de imóvel anteriormente adquirido seria equiparar o ato de aquisição à mera quitação de dívida de valor, o que não se coadunaria com o disposto no art. 39 da Lei n.° 11.196, de 2005, cuja interpretação há de ser </w:t>
      </w:r>
      <w:r w:rsidRPr="00E95348">
        <w:rPr>
          <w:rFonts w:ascii="Times New Roman" w:eastAsia="Times New Roman" w:hAnsi="Times New Roman" w:cs="Times New Roman"/>
          <w:sz w:val="24"/>
          <w:u w:val="single" w:color="000000"/>
          <w:lang w:val="pt-BR"/>
        </w:rPr>
        <w:t>literal e restrita</w:t>
      </w:r>
      <w:r w:rsidRPr="00E95348">
        <w:rPr>
          <w:rFonts w:ascii="Times New Roman" w:eastAsia="Times New Roman" w:hAnsi="Times New Roman" w:cs="Times New Roman"/>
          <w:sz w:val="24"/>
          <w:lang w:val="pt-BR"/>
        </w:rPr>
        <w:t xml:space="preserve"> (art. 111, II, do CTN).</w:t>
      </w:r>
    </w:p>
    <w:p w14:paraId="5F0B43AD" w14:textId="77777777" w:rsidR="00F85F9B" w:rsidRPr="00E95348" w:rsidRDefault="00000000">
      <w:pPr>
        <w:numPr>
          <w:ilvl w:val="0"/>
          <w:numId w:val="3"/>
        </w:numPr>
        <w:spacing w:after="356" w:line="260" w:lineRule="auto"/>
        <w:ind w:hanging="10"/>
        <w:jc w:val="both"/>
        <w:rPr>
          <w:lang w:val="pt-BR"/>
        </w:rPr>
      </w:pPr>
      <w:r w:rsidRPr="00E95348">
        <w:rPr>
          <w:rFonts w:ascii="Times New Roman" w:eastAsia="Times New Roman" w:hAnsi="Times New Roman" w:cs="Times New Roman"/>
          <w:sz w:val="24"/>
          <w:lang w:val="pt-BR"/>
        </w:rPr>
        <w:t>Entretanto, o STJ vem se manifestando no sentido de que o art. 2º, §11, inciso I, da Instrução Normativa nº 599, de 2005, ao afastar a isenção quando houver aplicação dos recursos para quitação ou amortização de financiamento de outro imóvel que o contribuinte já possui, restringe indevidamente o conteúdo do art. 39 da Lei nº 11.196, de 2005, padecendo, portanto, de ilegalidade. A Corte Superior ampara a sua interpretação nos seguintes fundamentos:</w:t>
      </w:r>
    </w:p>
    <w:p w14:paraId="4E303776" w14:textId="77777777" w:rsidR="00F85F9B" w:rsidRPr="00E95348" w:rsidRDefault="00000000">
      <w:pPr>
        <w:numPr>
          <w:ilvl w:val="1"/>
          <w:numId w:val="3"/>
        </w:numPr>
        <w:spacing w:after="253"/>
        <w:ind w:hanging="10"/>
        <w:jc w:val="both"/>
        <w:rPr>
          <w:lang w:val="pt-BR"/>
        </w:rPr>
      </w:pPr>
      <w:r w:rsidRPr="00E95348">
        <w:rPr>
          <w:rFonts w:ascii="Times New Roman" w:eastAsia="Times New Roman" w:hAnsi="Times New Roman" w:cs="Times New Roman"/>
          <w:lang w:val="pt-BR"/>
        </w:rPr>
        <w:t>a literalidade da norma insculpida no art. 39 da Lei nº 11.196, de 2005, exige apenas aaplicação “do produto da venda na aquisição de imóveis residenciais localizados no País”, não havendo qualquer discrímen que estabeleça o momento em que essa aquisição deva ocorrer;</w:t>
      </w:r>
    </w:p>
    <w:p w14:paraId="2ACC8E1F" w14:textId="77777777" w:rsidR="00F85F9B" w:rsidRPr="00E95348" w:rsidRDefault="00000000">
      <w:pPr>
        <w:numPr>
          <w:ilvl w:val="1"/>
          <w:numId w:val="3"/>
        </w:numPr>
        <w:spacing w:after="253"/>
        <w:ind w:hanging="10"/>
        <w:jc w:val="both"/>
        <w:rPr>
          <w:lang w:val="pt-BR"/>
        </w:rPr>
      </w:pPr>
      <w:r w:rsidRPr="00E95348">
        <w:rPr>
          <w:rFonts w:ascii="Times New Roman" w:eastAsia="Times New Roman" w:hAnsi="Times New Roman" w:cs="Times New Roman"/>
          <w:lang w:val="pt-BR"/>
        </w:rPr>
        <w:t>a finalidade do benefício fiscal de prestigiar a aplicação dos recursos no próprio setorimobiliário é melhor alcançada quando se permite que o produto da venda de imóvel residencial anterior seja empregado na quitação de débito remanescente do imóvel já adquirido ou de parcelas do financiamento em curso firmado anteriormente;</w:t>
      </w:r>
    </w:p>
    <w:p w14:paraId="04751674" w14:textId="77777777" w:rsidR="00F85F9B" w:rsidRPr="00E95348" w:rsidRDefault="00000000">
      <w:pPr>
        <w:numPr>
          <w:ilvl w:val="1"/>
          <w:numId w:val="3"/>
        </w:numPr>
        <w:spacing w:after="566"/>
        <w:ind w:hanging="10"/>
        <w:jc w:val="both"/>
        <w:rPr>
          <w:lang w:val="pt-BR"/>
        </w:rPr>
      </w:pPr>
      <w:r w:rsidRPr="00E95348">
        <w:rPr>
          <w:rFonts w:ascii="Times New Roman" w:eastAsia="Times New Roman" w:hAnsi="Times New Roman" w:cs="Times New Roman"/>
          <w:lang w:val="pt-BR"/>
        </w:rPr>
        <w:t>a restrição contida na IN nº 559, de 2005, torna a regra isentiva de difícil aplicação,porquanto destoa da realidade do mercado imobiliário para pessoas físicas, onde prevalecem os contratos de financiamento de longo prazo e o início da aquisição do segundo imóvel antes mesmo da realização da venda do primeiro.</w:t>
      </w:r>
    </w:p>
    <w:p w14:paraId="1AEB15CB" w14:textId="77777777" w:rsidR="00F85F9B" w:rsidRPr="00E95348" w:rsidRDefault="00000000">
      <w:pPr>
        <w:numPr>
          <w:ilvl w:val="0"/>
          <w:numId w:val="3"/>
        </w:numPr>
        <w:spacing w:after="619" w:line="260" w:lineRule="auto"/>
        <w:ind w:hanging="10"/>
        <w:jc w:val="both"/>
        <w:rPr>
          <w:lang w:val="pt-BR"/>
        </w:rPr>
      </w:pPr>
      <w:r w:rsidRPr="00E95348">
        <w:rPr>
          <w:rFonts w:ascii="Times New Roman" w:eastAsia="Times New Roman" w:hAnsi="Times New Roman" w:cs="Times New Roman"/>
          <w:sz w:val="24"/>
          <w:lang w:val="pt-BR"/>
        </w:rPr>
        <w:t>Essa é a orientação observada por ambas as Turmas que compõem a 1ª Seção do STJ, conforme se depreende das ementas dos seguintes julgados:</w:t>
      </w:r>
    </w:p>
    <w:p w14:paraId="47AFC252" w14:textId="77777777" w:rsidR="00F85F9B" w:rsidRPr="00E95348" w:rsidRDefault="00000000">
      <w:pPr>
        <w:spacing w:after="3" w:line="253" w:lineRule="auto"/>
        <w:ind w:left="2263" w:hanging="10"/>
        <w:jc w:val="both"/>
        <w:rPr>
          <w:lang w:val="pt-BR"/>
        </w:rPr>
      </w:pPr>
      <w:r w:rsidRPr="00E95348">
        <w:rPr>
          <w:rFonts w:ascii="Times New Roman" w:eastAsia="Times New Roman" w:hAnsi="Times New Roman" w:cs="Times New Roman"/>
          <w:lang w:val="pt-BR"/>
        </w:rPr>
        <w:t xml:space="preserve">TRIBUTÁRIO. RECURSO ESPECIAL. CÓDIGO DE PROCESSO CIVIL DE 2015. APLICABILIDADE. IMPOSTO SOBRE A RENDA DE PESSOA FÍSICA - IRPF. </w:t>
      </w:r>
      <w:r w:rsidRPr="00E95348">
        <w:rPr>
          <w:rFonts w:ascii="Times New Roman" w:eastAsia="Times New Roman" w:hAnsi="Times New Roman" w:cs="Times New Roman"/>
          <w:b/>
          <w:lang w:val="pt-BR"/>
        </w:rPr>
        <w:t>ALIENAÇÃO DE IMÓVEL RESIDENCIAL. GANHO DE CAPITAL. LEI N. 11.196/05 ("LEI DO BEM"). VALORES PARCIALMENTE DESTINADOS À QUITAÇÃO DE FINANCIAMENTO IMOBILIÁRIO DE OUTRO IMÓVEL RESIDENCIAL. DIREITO À ISENÇÃO. RESTRIÇÃO IMPOSTA POR INSTRUÇÃO NORMATIVA. ILEGALIDADE.</w:t>
      </w:r>
    </w:p>
    <w:p w14:paraId="3CBE98C2" w14:textId="77777777" w:rsidR="00F85F9B" w:rsidRDefault="00000000">
      <w:pPr>
        <w:spacing w:after="1"/>
        <w:ind w:left="2263" w:hanging="10"/>
        <w:jc w:val="both"/>
      </w:pPr>
      <w:r w:rsidRPr="00E95348">
        <w:rPr>
          <w:rFonts w:ascii="Times New Roman" w:eastAsia="Times New Roman" w:hAnsi="Times New Roman" w:cs="Times New Roman"/>
          <w:b/>
          <w:lang w:val="pt-BR"/>
        </w:rPr>
        <w:t>PRECEDENTE.</w:t>
      </w:r>
      <w:r w:rsidRPr="00E95348">
        <w:rPr>
          <w:rFonts w:ascii="Times New Roman" w:eastAsia="Times New Roman" w:hAnsi="Times New Roman" w:cs="Times New Roman"/>
          <w:lang w:val="pt-BR"/>
        </w:rPr>
        <w:t xml:space="preserve"> MAJORAÇÃO DE HONORÁRIOS RECURSAIS. ART. 85, § 11, DO CPC/15. </w:t>
      </w:r>
      <w:r>
        <w:rPr>
          <w:rFonts w:ascii="Times New Roman" w:eastAsia="Times New Roman" w:hAnsi="Times New Roman" w:cs="Times New Roman"/>
        </w:rPr>
        <w:t>IMPOSSIBILIDADE.</w:t>
      </w:r>
    </w:p>
    <w:p w14:paraId="76F72390" w14:textId="77777777" w:rsidR="00F85F9B" w:rsidRDefault="00000000">
      <w:pPr>
        <w:numPr>
          <w:ilvl w:val="1"/>
          <w:numId w:val="4"/>
        </w:numPr>
        <w:spacing w:after="1"/>
        <w:ind w:hanging="312"/>
        <w:jc w:val="both"/>
      </w:pPr>
      <w:r w:rsidRPr="00E95348">
        <w:rPr>
          <w:rFonts w:ascii="Times New Roman" w:eastAsia="Times New Roman" w:hAnsi="Times New Roman" w:cs="Times New Roman"/>
          <w:lang w:val="pt-BR"/>
        </w:rPr>
        <w:lastRenderedPageBreak/>
        <w:t xml:space="preserve">- Consoante o decidido pelo Plenário desta Corte na sessão realizada em 09.03.2016, oregime recursal será determinado pela data da publicação do provimento jurisdicional impugnado. </w:t>
      </w:r>
      <w:r>
        <w:rPr>
          <w:rFonts w:ascii="Times New Roman" w:eastAsia="Times New Roman" w:hAnsi="Times New Roman" w:cs="Times New Roman"/>
        </w:rPr>
        <w:t>Aplica-se o Código de Processo Civil de 2015.</w:t>
      </w:r>
    </w:p>
    <w:p w14:paraId="021C4A65" w14:textId="77777777" w:rsidR="00F85F9B" w:rsidRDefault="00000000">
      <w:pPr>
        <w:numPr>
          <w:ilvl w:val="1"/>
          <w:numId w:val="4"/>
        </w:numPr>
        <w:spacing w:after="3" w:line="253" w:lineRule="auto"/>
        <w:ind w:hanging="312"/>
        <w:jc w:val="both"/>
      </w:pPr>
      <w:r w:rsidRPr="00E95348">
        <w:rPr>
          <w:rFonts w:ascii="Times New Roman" w:eastAsia="Times New Roman" w:hAnsi="Times New Roman" w:cs="Times New Roman"/>
          <w:b/>
          <w:lang w:val="pt-BR"/>
        </w:rPr>
        <w:t xml:space="preserve">- A isenção prevista no art. 39, § 2º, da Lei n. 11.196/05, alcança as hipóteses nasquais o produto da venda de imóvel por pessoa física seja destinado, total ou parcialmente, à quitação ou amortização de financiamento de outro imóvel residencial que o alienante já possui. </w:t>
      </w:r>
      <w:r>
        <w:rPr>
          <w:rFonts w:ascii="Times New Roman" w:eastAsia="Times New Roman" w:hAnsi="Times New Roman" w:cs="Times New Roman"/>
          <w:b/>
        </w:rPr>
        <w:t>Precedente.</w:t>
      </w:r>
    </w:p>
    <w:p w14:paraId="125EBA91" w14:textId="77777777" w:rsidR="00F85F9B" w:rsidRPr="00E95348" w:rsidRDefault="00000000">
      <w:pPr>
        <w:numPr>
          <w:ilvl w:val="1"/>
          <w:numId w:val="4"/>
        </w:numPr>
        <w:spacing w:after="3" w:line="253" w:lineRule="auto"/>
        <w:ind w:hanging="312"/>
        <w:jc w:val="both"/>
        <w:rPr>
          <w:lang w:val="pt-BR"/>
        </w:rPr>
      </w:pPr>
      <w:r w:rsidRPr="00E95348">
        <w:rPr>
          <w:rFonts w:ascii="Times New Roman" w:eastAsia="Times New Roman" w:hAnsi="Times New Roman" w:cs="Times New Roman"/>
          <w:b/>
          <w:lang w:val="pt-BR"/>
        </w:rPr>
        <w:t>- Ilegalidade do art. 2º, § 11, inciso I, da Instrução Normativa SRF n. 599/05.</w:t>
      </w:r>
    </w:p>
    <w:p w14:paraId="57281728" w14:textId="77777777" w:rsidR="00F85F9B" w:rsidRPr="00E95348" w:rsidRDefault="00000000">
      <w:pPr>
        <w:numPr>
          <w:ilvl w:val="1"/>
          <w:numId w:val="4"/>
        </w:numPr>
        <w:spacing w:after="1"/>
        <w:ind w:hanging="312"/>
        <w:jc w:val="both"/>
        <w:rPr>
          <w:lang w:val="pt-BR"/>
        </w:rPr>
      </w:pPr>
      <w:r w:rsidRPr="00E95348">
        <w:rPr>
          <w:rFonts w:ascii="Times New Roman" w:eastAsia="Times New Roman" w:hAnsi="Times New Roman" w:cs="Times New Roman"/>
          <w:lang w:val="pt-BR"/>
        </w:rPr>
        <w:t>- Impossibilitada a majoração de honorários nos termos do art.</w:t>
      </w:r>
    </w:p>
    <w:p w14:paraId="380D3924" w14:textId="77777777" w:rsidR="00F85F9B" w:rsidRPr="00E95348" w:rsidRDefault="00000000">
      <w:pPr>
        <w:spacing w:after="1"/>
        <w:ind w:left="2263" w:hanging="10"/>
        <w:jc w:val="both"/>
        <w:rPr>
          <w:lang w:val="pt-BR"/>
        </w:rPr>
      </w:pPr>
      <w:r w:rsidRPr="00E95348">
        <w:rPr>
          <w:rFonts w:ascii="Times New Roman" w:eastAsia="Times New Roman" w:hAnsi="Times New Roman" w:cs="Times New Roman"/>
          <w:lang w:val="pt-BR"/>
        </w:rPr>
        <w:t>85, § 11, do Código de Processo Civil de 2015, porquanto não houve anterior fixação de verba honorária.</w:t>
      </w:r>
    </w:p>
    <w:p w14:paraId="6E55EB39" w14:textId="77777777" w:rsidR="00F85F9B" w:rsidRDefault="00000000">
      <w:pPr>
        <w:numPr>
          <w:ilvl w:val="1"/>
          <w:numId w:val="4"/>
        </w:numPr>
        <w:spacing w:after="1"/>
        <w:ind w:hanging="312"/>
        <w:jc w:val="both"/>
      </w:pPr>
      <w:r>
        <w:rPr>
          <w:rFonts w:ascii="Times New Roman" w:eastAsia="Times New Roman" w:hAnsi="Times New Roman" w:cs="Times New Roman"/>
        </w:rPr>
        <w:t>- Recurso especial desprovido.</w:t>
      </w:r>
    </w:p>
    <w:p w14:paraId="712DDF0B" w14:textId="77777777" w:rsidR="00F85F9B" w:rsidRDefault="00000000">
      <w:pPr>
        <w:spacing w:after="517"/>
        <w:ind w:left="2263" w:hanging="10"/>
        <w:jc w:val="both"/>
      </w:pPr>
      <w:r>
        <w:rPr>
          <w:rFonts w:ascii="Times New Roman" w:eastAsia="Times New Roman" w:hAnsi="Times New Roman" w:cs="Times New Roman"/>
        </w:rPr>
        <w:t>(REsp 1668268/SP, Rel. Ministra REGINA HELENA COSTA, PRIMEIRA TURMA, julgado em 13/03/2018, DJe 22/03/2018)</w:t>
      </w:r>
    </w:p>
    <w:p w14:paraId="07D29439" w14:textId="77777777" w:rsidR="00F85F9B" w:rsidRDefault="00000000">
      <w:pPr>
        <w:spacing w:after="3" w:line="253" w:lineRule="auto"/>
        <w:ind w:left="2263" w:hanging="10"/>
        <w:jc w:val="both"/>
      </w:pPr>
      <w:r w:rsidRPr="00E95348">
        <w:rPr>
          <w:rFonts w:ascii="Times New Roman" w:eastAsia="Times New Roman" w:hAnsi="Times New Roman" w:cs="Times New Roman"/>
          <w:lang w:val="pt-BR"/>
        </w:rPr>
        <w:t xml:space="preserve">TRIBUTÁRIO. RECURSO ESPECIAL. </w:t>
      </w:r>
      <w:r w:rsidRPr="00E95348">
        <w:rPr>
          <w:rFonts w:ascii="Times New Roman" w:eastAsia="Times New Roman" w:hAnsi="Times New Roman" w:cs="Times New Roman"/>
          <w:b/>
          <w:lang w:val="pt-BR"/>
        </w:rPr>
        <w:t xml:space="preserve">IRRF. ALIENAÇÃO DE IMÓVEL. UTILIZAÇÃO DO VALOR PARA QUITAR OUTRO IMÓVEL. </w:t>
      </w:r>
      <w:r>
        <w:rPr>
          <w:rFonts w:ascii="Times New Roman" w:eastAsia="Times New Roman" w:hAnsi="Times New Roman" w:cs="Times New Roman"/>
          <w:b/>
        </w:rPr>
        <w:t>ISENÇÃO.</w:t>
      </w:r>
    </w:p>
    <w:p w14:paraId="348CFF7D" w14:textId="77777777" w:rsidR="00F85F9B" w:rsidRDefault="00000000">
      <w:pPr>
        <w:spacing w:after="3" w:line="253" w:lineRule="auto"/>
        <w:ind w:left="2263" w:hanging="10"/>
        <w:jc w:val="both"/>
      </w:pPr>
      <w:r>
        <w:rPr>
          <w:rFonts w:ascii="Times New Roman" w:eastAsia="Times New Roman" w:hAnsi="Times New Roman" w:cs="Times New Roman"/>
          <w:b/>
        </w:rPr>
        <w:t>ILEGALIDADE DA IN/SRF N. 599/2005.</w:t>
      </w:r>
    </w:p>
    <w:p w14:paraId="20321B67" w14:textId="77777777" w:rsidR="00F85F9B" w:rsidRPr="00E95348" w:rsidRDefault="00000000">
      <w:pPr>
        <w:numPr>
          <w:ilvl w:val="1"/>
          <w:numId w:val="6"/>
        </w:numPr>
        <w:spacing w:after="3" w:line="253" w:lineRule="auto"/>
        <w:ind w:hanging="221"/>
        <w:jc w:val="both"/>
        <w:rPr>
          <w:lang w:val="pt-BR"/>
        </w:rPr>
      </w:pPr>
      <w:r w:rsidRPr="00E95348">
        <w:rPr>
          <w:rFonts w:ascii="Times New Roman" w:eastAsia="Times New Roman" w:hAnsi="Times New Roman" w:cs="Times New Roman"/>
          <w:b/>
          <w:lang w:val="pt-BR"/>
        </w:rPr>
        <w:t>A Segunda Turma do Superior Tribunal de Justiça firmou entendimento segundoo qual a restrição perpetrada pela Instrução Normativa/SRF n. 599/2005 é ilegal.</w:t>
      </w:r>
    </w:p>
    <w:p w14:paraId="3D5212B6" w14:textId="77777777" w:rsidR="00F85F9B" w:rsidRPr="00E95348" w:rsidRDefault="00000000">
      <w:pPr>
        <w:numPr>
          <w:ilvl w:val="1"/>
          <w:numId w:val="6"/>
        </w:numPr>
        <w:spacing w:after="1"/>
        <w:ind w:hanging="221"/>
        <w:jc w:val="both"/>
        <w:rPr>
          <w:lang w:val="pt-BR"/>
        </w:rPr>
      </w:pPr>
      <w:r w:rsidRPr="00E95348">
        <w:rPr>
          <w:rFonts w:ascii="Times New Roman" w:eastAsia="Times New Roman" w:hAnsi="Times New Roman" w:cs="Times New Roman"/>
          <w:lang w:val="pt-BR"/>
        </w:rPr>
        <w:t>Recurso especial a que se nega provimento.</w:t>
      </w:r>
    </w:p>
    <w:p w14:paraId="10A4B739" w14:textId="77777777" w:rsidR="00F85F9B" w:rsidRDefault="00000000">
      <w:pPr>
        <w:spacing w:after="517"/>
        <w:ind w:left="2263" w:hanging="10"/>
        <w:jc w:val="both"/>
      </w:pPr>
      <w:r>
        <w:rPr>
          <w:rFonts w:ascii="Times New Roman" w:eastAsia="Times New Roman" w:hAnsi="Times New Roman" w:cs="Times New Roman"/>
        </w:rPr>
        <w:t>(REsp 1674187/SP, Rel. Ministro OG FERNANDES, SEGUNDA TURMA, julgado em 20/02/2018, DJe 26/02/2018)</w:t>
      </w:r>
    </w:p>
    <w:p w14:paraId="1A15B6CA" w14:textId="77777777" w:rsidR="00F85F9B" w:rsidRPr="00E95348" w:rsidRDefault="00000000">
      <w:pPr>
        <w:spacing w:after="1"/>
        <w:ind w:left="2263" w:hanging="10"/>
        <w:jc w:val="both"/>
        <w:rPr>
          <w:lang w:val="pt-BR"/>
        </w:rPr>
      </w:pPr>
      <w:r w:rsidRPr="00E95348">
        <w:rPr>
          <w:rFonts w:ascii="Times New Roman" w:eastAsia="Times New Roman" w:hAnsi="Times New Roman" w:cs="Times New Roman"/>
          <w:lang w:val="pt-BR"/>
        </w:rPr>
        <w:t>TRIBUTÁRIO. IMPOSTO DE RENDA. GANHO DE CAPITAL NA ALIENAÇÃO DE</w:t>
      </w:r>
    </w:p>
    <w:p w14:paraId="4E1215E2" w14:textId="77777777" w:rsidR="00F85F9B" w:rsidRPr="00E95348" w:rsidRDefault="00000000">
      <w:pPr>
        <w:spacing w:after="1"/>
        <w:ind w:left="2263" w:hanging="10"/>
        <w:jc w:val="both"/>
        <w:rPr>
          <w:lang w:val="pt-BR"/>
        </w:rPr>
      </w:pPr>
      <w:r w:rsidRPr="00E95348">
        <w:rPr>
          <w:rFonts w:ascii="Times New Roman" w:eastAsia="Times New Roman" w:hAnsi="Times New Roman" w:cs="Times New Roman"/>
          <w:lang w:val="pt-BR"/>
        </w:rPr>
        <w:t>BEM IMÓVEL RESIDENCIAL. IN/SRF Nº 599/2005 E ART. 39 DA LEI Nº</w:t>
      </w:r>
    </w:p>
    <w:p w14:paraId="26DE6947" w14:textId="77777777" w:rsidR="00F85F9B" w:rsidRDefault="00000000">
      <w:pPr>
        <w:spacing w:after="1"/>
        <w:ind w:left="2263" w:hanging="10"/>
        <w:jc w:val="both"/>
      </w:pPr>
      <w:r>
        <w:rPr>
          <w:rFonts w:ascii="Times New Roman" w:eastAsia="Times New Roman" w:hAnsi="Times New Roman" w:cs="Times New Roman"/>
        </w:rPr>
        <w:t>11.196/2005.</w:t>
      </w:r>
    </w:p>
    <w:p w14:paraId="3D798B08" w14:textId="77777777" w:rsidR="00F85F9B" w:rsidRPr="00E95348" w:rsidRDefault="00000000">
      <w:pPr>
        <w:numPr>
          <w:ilvl w:val="1"/>
          <w:numId w:val="5"/>
        </w:numPr>
        <w:spacing w:after="3" w:line="253" w:lineRule="auto"/>
        <w:ind w:hanging="230"/>
        <w:jc w:val="both"/>
        <w:rPr>
          <w:lang w:val="pt-BR"/>
        </w:rPr>
      </w:pPr>
      <w:r w:rsidRPr="00E95348">
        <w:rPr>
          <w:rFonts w:ascii="Times New Roman" w:eastAsia="Times New Roman" w:hAnsi="Times New Roman" w:cs="Times New Roman"/>
          <w:b/>
          <w:lang w:val="pt-BR"/>
        </w:rPr>
        <w:t>A isenção do Imposto de Renda sobre o ganho de capital nas operações dealienação de imóvel prevista no art. 39, da Lei 11.196/2005 se aplica à hipótese de venda de imóvel residencial com o objetivo de quitar, total ou parcialmente, débito remanescente de aquisição a prazo ou à prestação de imóvel residencial já possuído pelo alienante.</w:t>
      </w:r>
    </w:p>
    <w:p w14:paraId="7AD77B42" w14:textId="77777777" w:rsidR="00F85F9B" w:rsidRPr="00E95348" w:rsidRDefault="00000000">
      <w:pPr>
        <w:numPr>
          <w:ilvl w:val="1"/>
          <w:numId w:val="5"/>
        </w:numPr>
        <w:spacing w:after="3" w:line="253" w:lineRule="auto"/>
        <w:ind w:hanging="230"/>
        <w:jc w:val="both"/>
        <w:rPr>
          <w:lang w:val="pt-BR"/>
        </w:rPr>
      </w:pPr>
      <w:r w:rsidRPr="00E95348">
        <w:rPr>
          <w:rFonts w:ascii="Times New Roman" w:eastAsia="Times New Roman" w:hAnsi="Times New Roman" w:cs="Times New Roman"/>
          <w:b/>
          <w:lang w:val="pt-BR"/>
        </w:rPr>
        <w:t>É ilegal a restrição estabelecida no art. 2º, §11, I, da Instrução Normativa-SRF n.</w:t>
      </w:r>
    </w:p>
    <w:p w14:paraId="37A08C83" w14:textId="77777777" w:rsidR="00F85F9B" w:rsidRDefault="00000000">
      <w:pPr>
        <w:spacing w:after="3" w:line="253" w:lineRule="auto"/>
        <w:ind w:left="2263" w:hanging="10"/>
        <w:jc w:val="both"/>
      </w:pPr>
      <w:r>
        <w:rPr>
          <w:rFonts w:ascii="Times New Roman" w:eastAsia="Times New Roman" w:hAnsi="Times New Roman" w:cs="Times New Roman"/>
          <w:b/>
        </w:rPr>
        <w:t>599/2005.</w:t>
      </w:r>
    </w:p>
    <w:p w14:paraId="253B490B" w14:textId="77777777" w:rsidR="00F85F9B" w:rsidRPr="00E95348" w:rsidRDefault="00000000">
      <w:pPr>
        <w:numPr>
          <w:ilvl w:val="1"/>
          <w:numId w:val="5"/>
        </w:numPr>
        <w:spacing w:after="1"/>
        <w:ind w:hanging="230"/>
        <w:jc w:val="both"/>
        <w:rPr>
          <w:lang w:val="pt-BR"/>
        </w:rPr>
      </w:pPr>
      <w:r w:rsidRPr="00E95348">
        <w:rPr>
          <w:rFonts w:ascii="Times New Roman" w:eastAsia="Times New Roman" w:hAnsi="Times New Roman" w:cs="Times New Roman"/>
          <w:lang w:val="pt-BR"/>
        </w:rPr>
        <w:t>NEGO PROVIMENTO ao recurso especial.</w:t>
      </w:r>
    </w:p>
    <w:p w14:paraId="6E6E0176" w14:textId="77777777" w:rsidR="00F85F9B" w:rsidRDefault="00000000">
      <w:pPr>
        <w:spacing w:after="1"/>
        <w:ind w:left="2263" w:hanging="10"/>
        <w:jc w:val="both"/>
      </w:pPr>
      <w:r>
        <w:rPr>
          <w:rFonts w:ascii="Times New Roman" w:eastAsia="Times New Roman" w:hAnsi="Times New Roman" w:cs="Times New Roman"/>
        </w:rPr>
        <w:t>(REsp 1469478/SC, Rel. Ministro HERMAN BENJAMIN, Rel. p/ Acórdão Ministro MAURO CAMPBELL MARQUES, SEGUNDA TURMA, julgado em 25/10/2016, DJe</w:t>
      </w:r>
    </w:p>
    <w:p w14:paraId="0D3AFD3D" w14:textId="77777777" w:rsidR="00F85F9B" w:rsidRDefault="00000000">
      <w:pPr>
        <w:spacing w:after="564"/>
        <w:ind w:left="2263" w:hanging="10"/>
        <w:jc w:val="both"/>
      </w:pPr>
      <w:r>
        <w:rPr>
          <w:rFonts w:ascii="Times New Roman" w:eastAsia="Times New Roman" w:hAnsi="Times New Roman" w:cs="Times New Roman"/>
        </w:rPr>
        <w:t>19/12/2016)</w:t>
      </w:r>
    </w:p>
    <w:p w14:paraId="2B11B9E5" w14:textId="77777777" w:rsidR="00F85F9B" w:rsidRDefault="00000000">
      <w:pPr>
        <w:numPr>
          <w:ilvl w:val="0"/>
          <w:numId w:val="3"/>
        </w:numPr>
        <w:spacing w:after="0" w:line="260" w:lineRule="auto"/>
        <w:ind w:hanging="10"/>
        <w:jc w:val="both"/>
      </w:pPr>
      <w:r w:rsidRPr="00E95348">
        <w:rPr>
          <w:rFonts w:ascii="Times New Roman" w:eastAsia="Times New Roman" w:hAnsi="Times New Roman" w:cs="Times New Roman"/>
          <w:sz w:val="24"/>
          <w:lang w:val="pt-BR"/>
        </w:rPr>
        <w:t xml:space="preserve">Além desses precedentes, há diversas decisões monocráticas no mesmo sentido: REsp nº 1.612.183 – RS, Rel. </w:t>
      </w:r>
      <w:r>
        <w:rPr>
          <w:rFonts w:ascii="Times New Roman" w:eastAsia="Times New Roman" w:hAnsi="Times New Roman" w:cs="Times New Roman"/>
          <w:sz w:val="24"/>
        </w:rPr>
        <w:t>Min. Napoleão Nunes Maia Filho, DJe 27.03.2017; REsp nº 1.610.502 – RJ, Rel. Min. Assusete Magalhães, DJe 11.10.2017; REsp nº 1.460.769 – RS, Rel. Min. Benedito Gonçalves, DJe 02.08.2018; REsp nº 1.582.165 – RS, Rel. Min. Regina Helena Costa, DJe 01.06.2018; REsp nº</w:t>
      </w:r>
    </w:p>
    <w:p w14:paraId="62154A86" w14:textId="77777777" w:rsidR="00F85F9B" w:rsidRDefault="00000000">
      <w:pPr>
        <w:spacing w:after="140" w:line="260" w:lineRule="auto"/>
        <w:ind w:left="-5" w:hanging="10"/>
        <w:jc w:val="both"/>
      </w:pPr>
      <w:r>
        <w:rPr>
          <w:rFonts w:ascii="Times New Roman" w:eastAsia="Times New Roman" w:hAnsi="Times New Roman" w:cs="Times New Roman"/>
          <w:sz w:val="24"/>
        </w:rPr>
        <w:t>1.663.318 – RJ, Rel. Min. Regina Helena Costa, DJe 09.04.2018.</w:t>
      </w:r>
    </w:p>
    <w:p w14:paraId="65D8E9B1" w14:textId="77777777" w:rsidR="00F85F9B" w:rsidRPr="00E95348" w:rsidRDefault="00000000">
      <w:pPr>
        <w:numPr>
          <w:ilvl w:val="0"/>
          <w:numId w:val="3"/>
        </w:numPr>
        <w:spacing w:after="140" w:line="260" w:lineRule="auto"/>
        <w:ind w:hanging="10"/>
        <w:jc w:val="both"/>
        <w:rPr>
          <w:lang w:val="pt-BR"/>
        </w:rPr>
      </w:pPr>
      <w:r w:rsidRPr="00E95348">
        <w:rPr>
          <w:rFonts w:ascii="Times New Roman" w:eastAsia="Times New Roman" w:hAnsi="Times New Roman" w:cs="Times New Roman"/>
          <w:sz w:val="24"/>
          <w:lang w:val="pt-BR"/>
        </w:rPr>
        <w:t>É possível asseverar, nesse contexto, que o STJ já firmou orientação quanto à ilegalidade do art. 2º, §11, inciso I, da Instrução Normativa SRF nº 599, de 2005, que veda expressamente a isenção do IR sobre o ganho de capital das pessoas físicas na hipótese de “venda do imóvel residencial com o objetivo de quitar, total ou parcialmente, débito remanescente de aquisição a prazo ou prestação de imóvel residencial já possuído pelo alienante”.</w:t>
      </w:r>
    </w:p>
    <w:p w14:paraId="4D8A2489" w14:textId="77777777" w:rsidR="00F85F9B" w:rsidRPr="00E95348" w:rsidRDefault="00000000">
      <w:pPr>
        <w:numPr>
          <w:ilvl w:val="0"/>
          <w:numId w:val="3"/>
        </w:numPr>
        <w:spacing w:after="140" w:line="260" w:lineRule="auto"/>
        <w:ind w:hanging="10"/>
        <w:jc w:val="both"/>
        <w:rPr>
          <w:lang w:val="pt-BR"/>
        </w:rPr>
      </w:pPr>
      <w:r w:rsidRPr="00E95348">
        <w:rPr>
          <w:rFonts w:ascii="Times New Roman" w:eastAsia="Times New Roman" w:hAnsi="Times New Roman" w:cs="Times New Roman"/>
          <w:sz w:val="24"/>
          <w:lang w:val="pt-BR"/>
        </w:rPr>
        <w:lastRenderedPageBreak/>
        <w:t>Registre-se que a temática não ostenta contornos constitucionais, versando eminentemente sobre a interpretação e aplicação de normas infraconstitucionais, o que inviabiliza a sua submissão, via recurso extraordinário, ao STF.</w:t>
      </w:r>
    </w:p>
    <w:p w14:paraId="47A87190" w14:textId="77777777" w:rsidR="00F85F9B" w:rsidRPr="00E95348" w:rsidRDefault="00000000">
      <w:pPr>
        <w:numPr>
          <w:ilvl w:val="0"/>
          <w:numId w:val="3"/>
        </w:numPr>
        <w:spacing w:after="140" w:line="260" w:lineRule="auto"/>
        <w:ind w:hanging="10"/>
        <w:jc w:val="both"/>
        <w:rPr>
          <w:lang w:val="pt-BR"/>
        </w:rPr>
      </w:pPr>
      <w:r w:rsidRPr="00E95348">
        <w:rPr>
          <w:rFonts w:ascii="Times New Roman" w:eastAsia="Times New Roman" w:hAnsi="Times New Roman" w:cs="Times New Roman"/>
          <w:sz w:val="24"/>
          <w:lang w:val="pt-BR"/>
        </w:rPr>
        <w:t>Por conseguinte, tendo em vista a pacificação da jurisprudência no âmbito do STJ e a consequente inviabilidade de reversão do entendimento desfavorável à União, a matéria ora apreciada enquadra-se na previsão do art. 2</w:t>
      </w:r>
      <w:r w:rsidRPr="00E95348">
        <w:rPr>
          <w:rFonts w:ascii="Times New Roman" w:eastAsia="Times New Roman" w:hAnsi="Times New Roman" w:cs="Times New Roman"/>
          <w:strike/>
          <w:sz w:val="24"/>
          <w:lang w:val="pt-BR"/>
        </w:rPr>
        <w:t>º</w:t>
      </w:r>
      <w:r w:rsidRPr="00E95348">
        <w:rPr>
          <w:rFonts w:ascii="Times New Roman" w:eastAsia="Times New Roman" w:hAnsi="Times New Roman" w:cs="Times New Roman"/>
          <w:sz w:val="24"/>
          <w:lang w:val="pt-BR"/>
        </w:rPr>
        <w:t>, inciso VII, da Portaria PGFN n</w:t>
      </w:r>
      <w:r w:rsidRPr="00E95348">
        <w:rPr>
          <w:rFonts w:ascii="Times New Roman" w:eastAsia="Times New Roman" w:hAnsi="Times New Roman" w:cs="Times New Roman"/>
          <w:strike/>
          <w:sz w:val="24"/>
          <w:lang w:val="pt-BR"/>
        </w:rPr>
        <w:t>º</w:t>
      </w:r>
      <w:r w:rsidRPr="00E95348">
        <w:rPr>
          <w:rFonts w:ascii="Times New Roman" w:eastAsia="Times New Roman" w:hAnsi="Times New Roman" w:cs="Times New Roman"/>
          <w:sz w:val="24"/>
          <w:lang w:val="pt-BR"/>
        </w:rPr>
        <w:t xml:space="preserve"> 502, de 2016</w:t>
      </w:r>
      <w:r w:rsidRPr="00E95348">
        <w:rPr>
          <w:rFonts w:ascii="Times New Roman" w:eastAsia="Times New Roman" w:hAnsi="Times New Roman" w:cs="Times New Roman"/>
          <w:color w:val="0000EE"/>
          <w:sz w:val="30"/>
          <w:u w:val="single" w:color="0000EE"/>
          <w:vertAlign w:val="superscript"/>
          <w:lang w:val="pt-BR"/>
        </w:rPr>
        <w:t>[2]</w:t>
      </w:r>
      <w:r w:rsidRPr="00E95348">
        <w:rPr>
          <w:rFonts w:ascii="Times New Roman" w:eastAsia="Times New Roman" w:hAnsi="Times New Roman" w:cs="Times New Roman"/>
          <w:sz w:val="24"/>
          <w:lang w:val="pt-BR"/>
        </w:rPr>
        <w:t>, que dispensa a apresentação de contestação, o oferecimento de contrarrazões, a interposição de recursos, bem como a desistência dos já interpostos, em temas sobre os quais exista jurisprudência consolidada do STF em matéria constitucional ou de Tribunais Superiores em matéria infraconstitucional, em sentido desfavorável à Fazenda Nacional.</w:t>
      </w:r>
    </w:p>
    <w:p w14:paraId="24197A54" w14:textId="77777777" w:rsidR="00F85F9B" w:rsidRPr="00E95348" w:rsidRDefault="00000000">
      <w:pPr>
        <w:numPr>
          <w:ilvl w:val="0"/>
          <w:numId w:val="3"/>
        </w:numPr>
        <w:spacing w:after="140" w:line="260" w:lineRule="auto"/>
        <w:ind w:hanging="10"/>
        <w:jc w:val="both"/>
        <w:rPr>
          <w:lang w:val="pt-BR"/>
        </w:rPr>
      </w:pPr>
      <w:r w:rsidRPr="00E95348">
        <w:rPr>
          <w:rFonts w:ascii="Times New Roman" w:eastAsia="Times New Roman" w:hAnsi="Times New Roman" w:cs="Times New Roman"/>
          <w:sz w:val="24"/>
          <w:lang w:val="pt-BR"/>
        </w:rPr>
        <w:t>Considerando a orientação firmada pelo STJ e a regra de hermenêutica jurídica segundo a qual “onde há o mesmo fundamento deve haver o mesmo direito” (</w:t>
      </w:r>
      <w:r w:rsidRPr="00E95348">
        <w:rPr>
          <w:rFonts w:ascii="Times New Roman" w:eastAsia="Times New Roman" w:hAnsi="Times New Roman" w:cs="Times New Roman"/>
          <w:i/>
          <w:sz w:val="24"/>
          <w:lang w:val="pt-BR"/>
        </w:rPr>
        <w:t>Ubi eadem ratio ibi idem jus</w:t>
      </w:r>
      <w:r w:rsidRPr="00E95348">
        <w:rPr>
          <w:rFonts w:ascii="Times New Roman" w:eastAsia="Times New Roman" w:hAnsi="Times New Roman" w:cs="Times New Roman"/>
          <w:sz w:val="24"/>
          <w:lang w:val="pt-BR"/>
        </w:rPr>
        <w:t xml:space="preserve">), entende-se que a dispensa de impugnação em juízo deve abranger, igualmente, os casos em que se discute o reconhecimento da isenção quando o produto da venda do imóvel residencial é empregado na quitação ou amortização de outro imóvel residencial </w:t>
      </w:r>
      <w:r w:rsidRPr="00E95348">
        <w:rPr>
          <w:rFonts w:ascii="Times New Roman" w:eastAsia="Times New Roman" w:hAnsi="Times New Roman" w:cs="Times New Roman"/>
          <w:b/>
          <w:sz w:val="24"/>
          <w:lang w:val="pt-BR"/>
        </w:rPr>
        <w:t xml:space="preserve">em construção ou planta </w:t>
      </w:r>
      <w:r w:rsidRPr="00E95348">
        <w:rPr>
          <w:rFonts w:ascii="Times New Roman" w:eastAsia="Times New Roman" w:hAnsi="Times New Roman" w:cs="Times New Roman"/>
          <w:sz w:val="24"/>
          <w:lang w:val="pt-BR"/>
        </w:rPr>
        <w:t xml:space="preserve">(art. 2º, §10, inciso II, da IN nº 599, de 2005) </w:t>
      </w:r>
      <w:r w:rsidRPr="00E95348">
        <w:rPr>
          <w:rFonts w:ascii="Times New Roman" w:eastAsia="Times New Roman" w:hAnsi="Times New Roman" w:cs="Times New Roman"/>
          <w:b/>
          <w:sz w:val="24"/>
          <w:lang w:val="pt-BR"/>
        </w:rPr>
        <w:t>adquirido anteriormente à alienação.</w:t>
      </w:r>
    </w:p>
    <w:p w14:paraId="0076BA44" w14:textId="77777777" w:rsidR="00F85F9B" w:rsidRPr="00E95348" w:rsidRDefault="00000000">
      <w:pPr>
        <w:numPr>
          <w:ilvl w:val="0"/>
          <w:numId w:val="3"/>
        </w:numPr>
        <w:spacing w:after="768" w:line="260" w:lineRule="auto"/>
        <w:ind w:hanging="10"/>
        <w:jc w:val="both"/>
        <w:rPr>
          <w:lang w:val="pt-BR"/>
        </w:rPr>
      </w:pPr>
      <w:r w:rsidRPr="00E95348">
        <w:rPr>
          <w:rFonts w:ascii="Times New Roman" w:eastAsia="Times New Roman" w:hAnsi="Times New Roman" w:cs="Times New Roman"/>
          <w:sz w:val="24"/>
          <w:lang w:val="pt-BR"/>
        </w:rPr>
        <w:t xml:space="preserve">Diversamente, tratando-se de mero </w:t>
      </w:r>
      <w:r w:rsidRPr="00E95348">
        <w:rPr>
          <w:rFonts w:ascii="Times New Roman" w:eastAsia="Times New Roman" w:hAnsi="Times New Roman" w:cs="Times New Roman"/>
          <w:b/>
          <w:sz w:val="24"/>
          <w:lang w:val="pt-BR"/>
        </w:rPr>
        <w:t>terreno</w:t>
      </w:r>
      <w:r w:rsidRPr="00E95348">
        <w:rPr>
          <w:rFonts w:ascii="Times New Roman" w:eastAsia="Times New Roman" w:hAnsi="Times New Roman" w:cs="Times New Roman"/>
          <w:sz w:val="24"/>
          <w:lang w:val="pt-BR"/>
        </w:rPr>
        <w:t xml:space="preserve">, sem comprovação da destinação residencial, tem-se afastada a regra isentiva (art. 2º, §11, inciso II, da IN nº 599, de 2005), independentemente do momento em que se deu a aquisição, porquanto não satisfeito requisito exigido pelo art. 39 da Lei nº 11.196, de 2005, para fruição do benefício (aquisição de imóveis </w:t>
      </w:r>
      <w:r w:rsidRPr="00E95348">
        <w:rPr>
          <w:rFonts w:ascii="Times New Roman" w:eastAsia="Times New Roman" w:hAnsi="Times New Roman" w:cs="Times New Roman"/>
          <w:b/>
          <w:sz w:val="24"/>
          <w:lang w:val="pt-BR"/>
        </w:rPr>
        <w:t>residenciais</w:t>
      </w:r>
      <w:r w:rsidRPr="00E95348">
        <w:rPr>
          <w:rFonts w:ascii="Times New Roman" w:eastAsia="Times New Roman" w:hAnsi="Times New Roman" w:cs="Times New Roman"/>
          <w:sz w:val="24"/>
          <w:lang w:val="pt-BR"/>
        </w:rPr>
        <w:t xml:space="preserve"> localizados no País).</w:t>
      </w:r>
    </w:p>
    <w:p w14:paraId="65D47CB2" w14:textId="77777777" w:rsidR="00F85F9B" w:rsidRDefault="00000000">
      <w:pPr>
        <w:spacing w:after="510" w:line="265" w:lineRule="auto"/>
        <w:ind w:left="11" w:right="2" w:hanging="10"/>
        <w:jc w:val="center"/>
      </w:pPr>
      <w:r>
        <w:rPr>
          <w:rFonts w:ascii="Times New Roman" w:eastAsia="Times New Roman" w:hAnsi="Times New Roman" w:cs="Times New Roman"/>
          <w:b/>
          <w:sz w:val="24"/>
        </w:rPr>
        <w:t>III</w:t>
      </w:r>
    </w:p>
    <w:p w14:paraId="23C0A922" w14:textId="77777777" w:rsidR="00F85F9B" w:rsidRPr="00E95348" w:rsidRDefault="00000000">
      <w:pPr>
        <w:numPr>
          <w:ilvl w:val="0"/>
          <w:numId w:val="3"/>
        </w:numPr>
        <w:spacing w:after="752" w:line="260" w:lineRule="auto"/>
        <w:ind w:hanging="10"/>
        <w:jc w:val="both"/>
        <w:rPr>
          <w:lang w:val="pt-BR"/>
        </w:rPr>
      </w:pPr>
      <w:r w:rsidRPr="00E95348">
        <w:rPr>
          <w:rFonts w:ascii="Times New Roman" w:eastAsia="Times New Roman" w:hAnsi="Times New Roman" w:cs="Times New Roman"/>
          <w:sz w:val="24"/>
          <w:lang w:val="pt-BR"/>
        </w:rPr>
        <w:t>Ante o exposto, com fulcro no art. 2º, VII, §§ 4º e 5º, III, da Portaria PGFN nº 502, de2016, e à luz do entendimento consolidado do Egrégio Superior Tribunal de Justiça, propõe-se a seguinte inclusão na lista de temas com dispensa de contestação e recursos da PGFN:</w:t>
      </w:r>
    </w:p>
    <w:p w14:paraId="312554F2" w14:textId="77777777" w:rsidR="00F85F9B" w:rsidRPr="00E95348" w:rsidRDefault="00000000">
      <w:pPr>
        <w:pStyle w:val="Heading2"/>
        <w:rPr>
          <w:lang w:val="pt-BR"/>
        </w:rPr>
      </w:pPr>
      <w:r w:rsidRPr="00E95348">
        <w:rPr>
          <w:lang w:val="pt-BR"/>
        </w:rPr>
        <w:t>1.22 – Imposto de Renda (IR)</w:t>
      </w:r>
    </w:p>
    <w:p w14:paraId="0038885B" w14:textId="77777777" w:rsidR="00F85F9B" w:rsidRPr="00E95348" w:rsidRDefault="00000000">
      <w:pPr>
        <w:spacing w:after="259" w:line="253" w:lineRule="auto"/>
        <w:ind w:left="2263" w:hanging="10"/>
        <w:jc w:val="both"/>
        <w:rPr>
          <w:lang w:val="pt-BR"/>
        </w:rPr>
      </w:pPr>
      <w:r w:rsidRPr="00E95348">
        <w:rPr>
          <w:rFonts w:ascii="Times New Roman" w:eastAsia="Times New Roman" w:hAnsi="Times New Roman" w:cs="Times New Roman"/>
          <w:b/>
          <w:lang w:val="pt-BR"/>
        </w:rPr>
        <w:t>IRPF. Isenção prevista no art. 39 da Lei nº 11.196, de 2005. Venda de imóvel residencial com o objetivo de quitar, total ou parcialmente, débito remanescente de aquisição a prazo ou prestação de imóvel residencial já possuído pelo alienante.</w:t>
      </w:r>
    </w:p>
    <w:p w14:paraId="13D3C6A1" w14:textId="77777777" w:rsidR="00F85F9B" w:rsidRPr="00E95348" w:rsidRDefault="00000000">
      <w:pPr>
        <w:spacing w:after="253"/>
        <w:ind w:left="2263" w:hanging="10"/>
        <w:jc w:val="both"/>
        <w:rPr>
          <w:lang w:val="pt-BR"/>
        </w:rPr>
      </w:pPr>
      <w:r w:rsidRPr="00E95348">
        <w:rPr>
          <w:rFonts w:ascii="Times New Roman" w:eastAsia="Times New Roman" w:hAnsi="Times New Roman" w:cs="Times New Roman"/>
          <w:b/>
          <w:lang w:val="pt-BR"/>
        </w:rPr>
        <w:t xml:space="preserve">Resumo: </w:t>
      </w:r>
      <w:r w:rsidRPr="00E95348">
        <w:rPr>
          <w:rFonts w:ascii="Times New Roman" w:eastAsia="Times New Roman" w:hAnsi="Times New Roman" w:cs="Times New Roman"/>
          <w:lang w:val="pt-BR"/>
        </w:rPr>
        <w:t>O STJ pacificou o entendimento no sentido de que a isenção do Imposto de Renda sobre o ganho de capital nas operações de alienação de imóvel, prevista no art. 39 da Lei nº 11.196, de 2005, aplica-se à hipótese de venda de imóvel residencial por pessoa física com o objetivo de quitar, total ou parcialmente, débito remanescente de aquisição a prazo ou prestação de imóvel residencial já possuído pelo alienante. Reconheceu, portanto, a ilegalidade do art. 2º, §11, inciso I, da Instrução Normativa SRF nº 599, de 2005.</w:t>
      </w:r>
    </w:p>
    <w:p w14:paraId="3E77D17A" w14:textId="77777777" w:rsidR="00F85F9B" w:rsidRPr="00E95348" w:rsidRDefault="00000000">
      <w:pPr>
        <w:spacing w:after="253"/>
        <w:ind w:left="2263" w:hanging="10"/>
        <w:jc w:val="both"/>
        <w:rPr>
          <w:lang w:val="pt-BR"/>
        </w:rPr>
      </w:pPr>
      <w:r w:rsidRPr="00E95348">
        <w:rPr>
          <w:rFonts w:ascii="Times New Roman" w:eastAsia="Times New Roman" w:hAnsi="Times New Roman" w:cs="Times New Roman"/>
          <w:b/>
          <w:lang w:val="pt-BR"/>
        </w:rPr>
        <w:t>Observação 1:</w:t>
      </w:r>
      <w:r w:rsidRPr="00E95348">
        <w:rPr>
          <w:rFonts w:ascii="Times New Roman" w:eastAsia="Times New Roman" w:hAnsi="Times New Roman" w:cs="Times New Roman"/>
          <w:lang w:val="pt-BR"/>
        </w:rPr>
        <w:t xml:space="preserve"> a dispensa de impugnação em juízo deve abranger, igualmente, os casos em que se discute o reconhecimento da isenção quando o produto da venda do imóvel residencial é empregado na quitação ou amortização de imóvel residencial </w:t>
      </w:r>
      <w:r w:rsidRPr="00E95348">
        <w:rPr>
          <w:rFonts w:ascii="Times New Roman" w:eastAsia="Times New Roman" w:hAnsi="Times New Roman" w:cs="Times New Roman"/>
          <w:b/>
          <w:lang w:val="pt-BR"/>
        </w:rPr>
        <w:t>em construção ou planta</w:t>
      </w:r>
      <w:r w:rsidRPr="00E95348">
        <w:rPr>
          <w:rFonts w:ascii="Times New Roman" w:eastAsia="Times New Roman" w:hAnsi="Times New Roman" w:cs="Times New Roman"/>
          <w:lang w:val="pt-BR"/>
        </w:rPr>
        <w:t xml:space="preserve"> (art. 2º, II, da IN nº 599, de 2005) </w:t>
      </w:r>
      <w:r w:rsidRPr="00E95348">
        <w:rPr>
          <w:rFonts w:ascii="Times New Roman" w:eastAsia="Times New Roman" w:hAnsi="Times New Roman" w:cs="Times New Roman"/>
          <w:b/>
          <w:lang w:val="pt-BR"/>
        </w:rPr>
        <w:t>adquirido anteriormente à alienação</w:t>
      </w:r>
      <w:r w:rsidRPr="00E95348">
        <w:rPr>
          <w:rFonts w:ascii="Times New Roman" w:eastAsia="Times New Roman" w:hAnsi="Times New Roman" w:cs="Times New Roman"/>
          <w:lang w:val="pt-BR"/>
        </w:rPr>
        <w:t>.</w:t>
      </w:r>
    </w:p>
    <w:p w14:paraId="15AC0601" w14:textId="77777777" w:rsidR="00F85F9B" w:rsidRPr="00E95348" w:rsidRDefault="00000000">
      <w:pPr>
        <w:spacing w:after="253"/>
        <w:ind w:left="2263" w:hanging="10"/>
        <w:jc w:val="both"/>
        <w:rPr>
          <w:lang w:val="pt-BR"/>
        </w:rPr>
      </w:pPr>
      <w:r w:rsidRPr="00E95348">
        <w:rPr>
          <w:rFonts w:ascii="Times New Roman" w:eastAsia="Times New Roman" w:hAnsi="Times New Roman" w:cs="Times New Roman"/>
          <w:b/>
          <w:lang w:val="pt-BR"/>
        </w:rPr>
        <w:t>Observação 2:</w:t>
      </w:r>
      <w:r w:rsidRPr="00E95348">
        <w:rPr>
          <w:rFonts w:ascii="Times New Roman" w:eastAsia="Times New Roman" w:hAnsi="Times New Roman" w:cs="Times New Roman"/>
          <w:lang w:val="pt-BR"/>
        </w:rPr>
        <w:t xml:space="preserve"> tratando-se de mero </w:t>
      </w:r>
      <w:r w:rsidRPr="00E95348">
        <w:rPr>
          <w:rFonts w:ascii="Times New Roman" w:eastAsia="Times New Roman" w:hAnsi="Times New Roman" w:cs="Times New Roman"/>
          <w:b/>
          <w:lang w:val="pt-BR"/>
        </w:rPr>
        <w:t>terreno</w:t>
      </w:r>
      <w:r w:rsidRPr="00E95348">
        <w:rPr>
          <w:rFonts w:ascii="Times New Roman" w:eastAsia="Times New Roman" w:hAnsi="Times New Roman" w:cs="Times New Roman"/>
          <w:lang w:val="pt-BR"/>
        </w:rPr>
        <w:t xml:space="preserve">, sem comprovação da destinação residencial, tem-se afastada a regra isentiva (art. 2º, §11, II, da IN nº 599, de 2005), independentemente do momento em que se deu a aquisição, porquanto não satisfeito requisito exigido pelo art. </w:t>
      </w:r>
      <w:r w:rsidRPr="00E95348">
        <w:rPr>
          <w:rFonts w:ascii="Times New Roman" w:eastAsia="Times New Roman" w:hAnsi="Times New Roman" w:cs="Times New Roman"/>
          <w:lang w:val="pt-BR"/>
        </w:rPr>
        <w:lastRenderedPageBreak/>
        <w:t xml:space="preserve">39 da Lei nº 11.196, de 2005, para fruição do benefício (aquisição de imóveis </w:t>
      </w:r>
      <w:r w:rsidRPr="00E95348">
        <w:rPr>
          <w:rFonts w:ascii="Times New Roman" w:eastAsia="Times New Roman" w:hAnsi="Times New Roman" w:cs="Times New Roman"/>
          <w:b/>
          <w:lang w:val="pt-BR"/>
        </w:rPr>
        <w:t>residenciais</w:t>
      </w:r>
      <w:r w:rsidRPr="00E95348">
        <w:rPr>
          <w:rFonts w:ascii="Times New Roman" w:eastAsia="Times New Roman" w:hAnsi="Times New Roman" w:cs="Times New Roman"/>
          <w:lang w:val="pt-BR"/>
        </w:rPr>
        <w:t xml:space="preserve"> localizados no País)</w:t>
      </w:r>
    </w:p>
    <w:p w14:paraId="036F0166" w14:textId="77777777" w:rsidR="00F85F9B" w:rsidRDefault="00000000">
      <w:pPr>
        <w:spacing w:after="816"/>
        <w:ind w:left="2263" w:hanging="10"/>
        <w:jc w:val="both"/>
      </w:pPr>
      <w:r>
        <w:rPr>
          <w:rFonts w:ascii="Times New Roman" w:eastAsia="Times New Roman" w:hAnsi="Times New Roman" w:cs="Times New Roman"/>
          <w:b/>
        </w:rPr>
        <w:t>Precedentes:</w:t>
      </w:r>
      <w:r>
        <w:rPr>
          <w:rFonts w:ascii="Times New Roman" w:eastAsia="Times New Roman" w:hAnsi="Times New Roman" w:cs="Times New Roman"/>
        </w:rPr>
        <w:t xml:space="preserve"> REsp 1668268/SP; REsp 1674187/SP; REsp 1469478/SC.</w:t>
      </w:r>
    </w:p>
    <w:p w14:paraId="54955FE6" w14:textId="77777777" w:rsidR="00F85F9B" w:rsidRPr="00E95348" w:rsidRDefault="00000000">
      <w:pPr>
        <w:numPr>
          <w:ilvl w:val="0"/>
          <w:numId w:val="7"/>
        </w:numPr>
        <w:spacing w:after="140" w:line="260" w:lineRule="auto"/>
        <w:ind w:hanging="1418"/>
        <w:jc w:val="both"/>
        <w:rPr>
          <w:lang w:val="pt-BR"/>
        </w:rPr>
      </w:pPr>
      <w:r w:rsidRPr="00E95348">
        <w:rPr>
          <w:rFonts w:ascii="Times New Roman" w:eastAsia="Times New Roman" w:hAnsi="Times New Roman" w:cs="Times New Roman"/>
          <w:sz w:val="24"/>
          <w:lang w:val="pt-BR"/>
        </w:rPr>
        <w:t>Caso aprovada, sugere-se o encaminhamento da presente Nota à CASTJ, para conhecimento, em resposta à consulta formulada.</w:t>
      </w:r>
    </w:p>
    <w:p w14:paraId="018CDD17" w14:textId="77777777" w:rsidR="00F85F9B" w:rsidRPr="00E95348" w:rsidRDefault="00000000">
      <w:pPr>
        <w:numPr>
          <w:ilvl w:val="0"/>
          <w:numId w:val="7"/>
        </w:numPr>
        <w:spacing w:after="140" w:line="260" w:lineRule="auto"/>
        <w:ind w:hanging="1418"/>
        <w:jc w:val="both"/>
        <w:rPr>
          <w:lang w:val="pt-BR"/>
        </w:rPr>
      </w:pPr>
      <w:r w:rsidRPr="00E95348">
        <w:rPr>
          <w:rFonts w:ascii="Times New Roman" w:eastAsia="Times New Roman" w:hAnsi="Times New Roman" w:cs="Times New Roman"/>
          <w:sz w:val="24"/>
          <w:lang w:val="pt-BR"/>
        </w:rPr>
        <w:t xml:space="preserve">Ademais, propõe-se que sejam realizadas as alterações pertinentes na gestão de matérias no Sistema de Acompanhamento Judicial – SAJ, assim como a inclusão do tema na lista de dispensa de contestar e recorrer disponível na </w:t>
      </w:r>
      <w:r w:rsidRPr="00E95348">
        <w:rPr>
          <w:rFonts w:ascii="Times New Roman" w:eastAsia="Times New Roman" w:hAnsi="Times New Roman" w:cs="Times New Roman"/>
          <w:i/>
          <w:sz w:val="24"/>
          <w:lang w:val="pt-BR"/>
        </w:rPr>
        <w:t>internet.</w:t>
      </w:r>
    </w:p>
    <w:p w14:paraId="140A695D" w14:textId="77777777" w:rsidR="00F85F9B" w:rsidRPr="00E95348" w:rsidRDefault="00000000">
      <w:pPr>
        <w:numPr>
          <w:ilvl w:val="0"/>
          <w:numId w:val="7"/>
        </w:numPr>
        <w:spacing w:after="140" w:line="260" w:lineRule="auto"/>
        <w:ind w:hanging="1418"/>
        <w:jc w:val="both"/>
        <w:rPr>
          <w:lang w:val="pt-BR"/>
        </w:rPr>
      </w:pPr>
      <w:r w:rsidRPr="00E95348">
        <w:rPr>
          <w:rFonts w:ascii="Times New Roman" w:eastAsia="Times New Roman" w:hAnsi="Times New Roman" w:cs="Times New Roman"/>
          <w:sz w:val="24"/>
          <w:lang w:val="pt-BR"/>
        </w:rPr>
        <w:t>Por fim, sobre a matéria em enfoque, vislumbra-se, desde já, a conveniência e a base legal para edição de ato declaratório do Procurador-Geral da Fazenda Nacional, nos termos do art. 19, inciso II, da Lei nº 10.522, de 2002, c/c o art. 5º do Decreto nº 2.346, de 1997, com o objetivo de promover a vinculação da Receita Federal do Brasil ao entendimento consagrado pelo STJ. Nessa perspectiva, sugere-se o encaminhamento de cópia da presente Nota à RFB, para que se manifeste previamente, como de praxe, quanto à eventual edição de ato declaratório sobre o tema.</w:t>
      </w:r>
    </w:p>
    <w:p w14:paraId="6E78DC7D" w14:textId="77777777" w:rsidR="00F85F9B" w:rsidRPr="00E95348" w:rsidRDefault="00000000">
      <w:pPr>
        <w:numPr>
          <w:ilvl w:val="0"/>
          <w:numId w:val="7"/>
        </w:numPr>
        <w:spacing w:after="773" w:line="260" w:lineRule="auto"/>
        <w:ind w:hanging="1418"/>
        <w:jc w:val="both"/>
        <w:rPr>
          <w:lang w:val="pt-BR"/>
        </w:rPr>
      </w:pPr>
      <w:r w:rsidRPr="00E95348">
        <w:rPr>
          <w:rFonts w:ascii="Times New Roman" w:eastAsia="Times New Roman" w:hAnsi="Times New Roman" w:cs="Times New Roman"/>
          <w:sz w:val="24"/>
          <w:lang w:val="pt-BR"/>
        </w:rPr>
        <w:t>Recomenda-se, ainda, ampla divulgação desta Nota às unidades descentralizadas da PGFN.</w:t>
      </w:r>
    </w:p>
    <w:p w14:paraId="2DAFAC99" w14:textId="77777777" w:rsidR="00F85F9B" w:rsidRPr="00E95348" w:rsidRDefault="00000000">
      <w:pPr>
        <w:spacing w:after="923" w:line="260" w:lineRule="auto"/>
        <w:ind w:left="10" w:right="1" w:hanging="10"/>
        <w:jc w:val="center"/>
        <w:rPr>
          <w:lang w:val="pt-BR"/>
        </w:rPr>
      </w:pPr>
      <w:r w:rsidRPr="00E95348">
        <w:rPr>
          <w:rFonts w:ascii="Times New Roman" w:eastAsia="Times New Roman" w:hAnsi="Times New Roman" w:cs="Times New Roman"/>
          <w:sz w:val="24"/>
          <w:lang w:val="pt-BR"/>
        </w:rPr>
        <w:t xml:space="preserve">            PROCURADORIA-GERAL DA FAZENDA NACIONAL, em 06 de agosto de 2018.</w:t>
      </w:r>
    </w:p>
    <w:p w14:paraId="477D2B25" w14:textId="77777777" w:rsidR="00F85F9B" w:rsidRPr="00E95348" w:rsidRDefault="00000000">
      <w:pPr>
        <w:spacing w:after="107" w:line="260" w:lineRule="auto"/>
        <w:ind w:left="10" w:right="3" w:hanging="10"/>
        <w:jc w:val="center"/>
        <w:rPr>
          <w:lang w:val="pt-BR"/>
        </w:rPr>
      </w:pPr>
      <w:r w:rsidRPr="00E95348">
        <w:rPr>
          <w:rFonts w:ascii="Times New Roman" w:eastAsia="Times New Roman" w:hAnsi="Times New Roman" w:cs="Times New Roman"/>
          <w:sz w:val="24"/>
          <w:lang w:val="pt-BR"/>
        </w:rPr>
        <w:t>Documento assinado digitalmente</w:t>
      </w:r>
    </w:p>
    <w:p w14:paraId="27ED01CF" w14:textId="77777777" w:rsidR="00F85F9B" w:rsidRPr="00E95348" w:rsidRDefault="00000000">
      <w:pPr>
        <w:spacing w:after="102" w:line="265" w:lineRule="auto"/>
        <w:ind w:left="11" w:right="3" w:hanging="10"/>
        <w:jc w:val="center"/>
        <w:rPr>
          <w:lang w:val="pt-BR"/>
        </w:rPr>
      </w:pPr>
      <w:r w:rsidRPr="00E95348">
        <w:rPr>
          <w:rFonts w:ascii="Times New Roman" w:eastAsia="Times New Roman" w:hAnsi="Times New Roman" w:cs="Times New Roman"/>
          <w:b/>
          <w:sz w:val="24"/>
          <w:lang w:val="pt-BR"/>
        </w:rPr>
        <w:t>GEILA LÍDIA BARRETO BARBOSA DINIZ</w:t>
      </w:r>
    </w:p>
    <w:p w14:paraId="4A6B3418" w14:textId="77777777" w:rsidR="00F85F9B" w:rsidRPr="00E95348" w:rsidRDefault="00000000">
      <w:pPr>
        <w:spacing w:after="923" w:line="260" w:lineRule="auto"/>
        <w:ind w:left="10" w:right="2" w:hanging="10"/>
        <w:jc w:val="center"/>
        <w:rPr>
          <w:lang w:val="pt-BR"/>
        </w:rPr>
      </w:pPr>
      <w:r w:rsidRPr="00E95348">
        <w:rPr>
          <w:rFonts w:ascii="Times New Roman" w:eastAsia="Times New Roman" w:hAnsi="Times New Roman" w:cs="Times New Roman"/>
          <w:sz w:val="24"/>
          <w:lang w:val="pt-BR"/>
        </w:rPr>
        <w:t>Procuradora da Fazenda Nacional</w:t>
      </w:r>
    </w:p>
    <w:p w14:paraId="0DBA6B04" w14:textId="77777777" w:rsidR="00F85F9B" w:rsidRPr="00E95348" w:rsidRDefault="00000000">
      <w:pPr>
        <w:spacing w:after="515" w:line="260" w:lineRule="auto"/>
        <w:ind w:left="10" w:right="4" w:hanging="10"/>
        <w:jc w:val="center"/>
        <w:rPr>
          <w:lang w:val="pt-BR"/>
        </w:rPr>
      </w:pPr>
      <w:r w:rsidRPr="00E95348">
        <w:rPr>
          <w:rFonts w:ascii="Times New Roman" w:eastAsia="Times New Roman" w:hAnsi="Times New Roman" w:cs="Times New Roman"/>
          <w:sz w:val="24"/>
          <w:lang w:val="pt-BR"/>
        </w:rPr>
        <w:t>De acordo. À consideração superior.</w:t>
      </w:r>
    </w:p>
    <w:p w14:paraId="43A83A51" w14:textId="77777777" w:rsidR="00F85F9B" w:rsidRPr="00E95348" w:rsidRDefault="00000000">
      <w:pPr>
        <w:spacing w:after="107" w:line="260" w:lineRule="auto"/>
        <w:ind w:left="10" w:right="3" w:hanging="10"/>
        <w:jc w:val="center"/>
        <w:rPr>
          <w:lang w:val="pt-BR"/>
        </w:rPr>
      </w:pPr>
      <w:r w:rsidRPr="00E95348">
        <w:rPr>
          <w:rFonts w:ascii="Times New Roman" w:eastAsia="Times New Roman" w:hAnsi="Times New Roman" w:cs="Times New Roman"/>
          <w:sz w:val="24"/>
          <w:lang w:val="pt-BR"/>
        </w:rPr>
        <w:t>Documento assinado digitalmente</w:t>
      </w:r>
    </w:p>
    <w:p w14:paraId="27D2024E" w14:textId="77777777" w:rsidR="00F85F9B" w:rsidRPr="00E95348" w:rsidRDefault="00000000">
      <w:pPr>
        <w:spacing w:after="102" w:line="265" w:lineRule="auto"/>
        <w:ind w:left="11" w:right="3" w:hanging="10"/>
        <w:jc w:val="center"/>
        <w:rPr>
          <w:lang w:val="pt-BR"/>
        </w:rPr>
      </w:pPr>
      <w:r w:rsidRPr="00E95348">
        <w:rPr>
          <w:rFonts w:ascii="Times New Roman" w:eastAsia="Times New Roman" w:hAnsi="Times New Roman" w:cs="Times New Roman"/>
          <w:b/>
          <w:sz w:val="24"/>
          <w:lang w:val="pt-BR"/>
        </w:rPr>
        <w:t>FILIPE AGUIAR DE BARROS</w:t>
      </w:r>
    </w:p>
    <w:p w14:paraId="3EAF2BC0" w14:textId="77777777" w:rsidR="00F85F9B" w:rsidRPr="00E95348" w:rsidRDefault="00000000">
      <w:pPr>
        <w:spacing w:after="1331" w:line="260" w:lineRule="auto"/>
        <w:ind w:left="10" w:right="2" w:hanging="10"/>
        <w:jc w:val="center"/>
        <w:rPr>
          <w:lang w:val="pt-BR"/>
        </w:rPr>
      </w:pPr>
      <w:r w:rsidRPr="00E95348">
        <w:rPr>
          <w:rFonts w:ascii="Times New Roman" w:eastAsia="Times New Roman" w:hAnsi="Times New Roman" w:cs="Times New Roman"/>
          <w:sz w:val="24"/>
          <w:lang w:val="pt-BR"/>
        </w:rPr>
        <w:t>Coordenador-Geral de Representação Judicial da Fazenda Nacional</w:t>
      </w:r>
    </w:p>
    <w:p w14:paraId="612E2E2E" w14:textId="77777777" w:rsidR="00F85F9B" w:rsidRPr="00E95348" w:rsidRDefault="00000000">
      <w:pPr>
        <w:spacing w:after="515" w:line="260" w:lineRule="auto"/>
        <w:ind w:left="10" w:right="1" w:hanging="10"/>
        <w:jc w:val="center"/>
        <w:rPr>
          <w:lang w:val="pt-BR"/>
        </w:rPr>
      </w:pPr>
      <w:r w:rsidRPr="00E95348">
        <w:rPr>
          <w:rFonts w:ascii="Times New Roman" w:eastAsia="Times New Roman" w:hAnsi="Times New Roman" w:cs="Times New Roman"/>
          <w:sz w:val="24"/>
          <w:lang w:val="pt-BR"/>
        </w:rPr>
        <w:t>Aprovo. Encaminhe-se conforme sugerido.</w:t>
      </w:r>
    </w:p>
    <w:p w14:paraId="43AE74DA" w14:textId="77777777" w:rsidR="00F85F9B" w:rsidRPr="00E95348" w:rsidRDefault="00000000">
      <w:pPr>
        <w:spacing w:after="107" w:line="260" w:lineRule="auto"/>
        <w:ind w:left="10" w:right="3" w:hanging="10"/>
        <w:jc w:val="center"/>
        <w:rPr>
          <w:lang w:val="pt-BR"/>
        </w:rPr>
      </w:pPr>
      <w:r w:rsidRPr="00E95348">
        <w:rPr>
          <w:rFonts w:ascii="Times New Roman" w:eastAsia="Times New Roman" w:hAnsi="Times New Roman" w:cs="Times New Roman"/>
          <w:sz w:val="24"/>
          <w:lang w:val="pt-BR"/>
        </w:rPr>
        <w:t>Documento assinado digitalmente</w:t>
      </w:r>
    </w:p>
    <w:p w14:paraId="16C59661" w14:textId="77777777" w:rsidR="00F85F9B" w:rsidRPr="00E95348" w:rsidRDefault="00000000">
      <w:pPr>
        <w:spacing w:after="102" w:line="265" w:lineRule="auto"/>
        <w:ind w:left="11" w:right="3" w:hanging="10"/>
        <w:jc w:val="center"/>
        <w:rPr>
          <w:lang w:val="pt-BR"/>
        </w:rPr>
      </w:pPr>
      <w:r w:rsidRPr="00E95348">
        <w:rPr>
          <w:rFonts w:ascii="Times New Roman" w:eastAsia="Times New Roman" w:hAnsi="Times New Roman" w:cs="Times New Roman"/>
          <w:b/>
          <w:sz w:val="24"/>
          <w:lang w:val="pt-BR"/>
        </w:rPr>
        <w:t>CLAUDIO XAVIER SEEFELDER FILHO</w:t>
      </w:r>
    </w:p>
    <w:p w14:paraId="3526D025" w14:textId="77777777" w:rsidR="00F85F9B" w:rsidRPr="00E95348" w:rsidRDefault="00000000">
      <w:pPr>
        <w:spacing w:after="661" w:line="260" w:lineRule="auto"/>
        <w:ind w:left="10" w:hanging="10"/>
        <w:jc w:val="center"/>
        <w:rPr>
          <w:lang w:val="pt-BR"/>
        </w:rPr>
      </w:pPr>
      <w:r w:rsidRPr="00E95348">
        <w:rPr>
          <w:rFonts w:ascii="Times New Roman" w:eastAsia="Times New Roman" w:hAnsi="Times New Roman" w:cs="Times New Roman"/>
          <w:sz w:val="24"/>
          <w:lang w:val="pt-BR"/>
        </w:rPr>
        <w:lastRenderedPageBreak/>
        <w:t>Procurador-Geral Adjunto de Consultoria e Estratégia da Representação Judicial e Administrativa Tributária</w:t>
      </w:r>
    </w:p>
    <w:p w14:paraId="2D0BEB2B" w14:textId="77777777" w:rsidR="00F85F9B" w:rsidRDefault="00000000">
      <w:pPr>
        <w:spacing w:after="174"/>
      </w:pPr>
      <w:r>
        <w:rPr>
          <w:noProof/>
        </w:rPr>
        <mc:AlternateContent>
          <mc:Choice Requires="wpg">
            <w:drawing>
              <wp:inline distT="0" distB="0" distL="0" distR="0" wp14:anchorId="1D979DF7" wp14:editId="5C93DABB">
                <wp:extent cx="2136648" cy="6096"/>
                <wp:effectExtent l="0" t="0" r="0" b="0"/>
                <wp:docPr id="6147" name="Group 6147"/>
                <wp:cNvGraphicFramePr/>
                <a:graphic xmlns:a="http://schemas.openxmlformats.org/drawingml/2006/main">
                  <a:graphicData uri="http://schemas.microsoft.com/office/word/2010/wordprocessingGroup">
                    <wpg:wgp>
                      <wpg:cNvGrpSpPr/>
                      <wpg:grpSpPr>
                        <a:xfrm>
                          <a:off x="0" y="0"/>
                          <a:ext cx="2136648" cy="6096"/>
                          <a:chOff x="0" y="0"/>
                          <a:chExt cx="2136648" cy="6096"/>
                        </a:xfrm>
                      </wpg:grpSpPr>
                      <wps:wsp>
                        <wps:cNvPr id="7474" name="Shape 7474"/>
                        <wps:cNvSpPr/>
                        <wps:spPr>
                          <a:xfrm>
                            <a:off x="0" y="0"/>
                            <a:ext cx="2136648" cy="9144"/>
                          </a:xfrm>
                          <a:custGeom>
                            <a:avLst/>
                            <a:gdLst/>
                            <a:ahLst/>
                            <a:cxnLst/>
                            <a:rect l="0" t="0" r="0" b="0"/>
                            <a:pathLst>
                              <a:path w="2136648" h="9144">
                                <a:moveTo>
                                  <a:pt x="0" y="0"/>
                                </a:moveTo>
                                <a:lnTo>
                                  <a:pt x="2136648" y="0"/>
                                </a:lnTo>
                                <a:lnTo>
                                  <a:pt x="2136648"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inline>
            </w:drawing>
          </mc:Choice>
          <mc:Fallback xmlns:a="http://schemas.openxmlformats.org/drawingml/2006/main">
            <w:pict>
              <v:group id="Group 6147" style="width:168.24pt;height:0.47998pt;mso-position-horizontal-relative:char;mso-position-vertical-relative:line" coordsize="21366,60">
                <v:shape id="Shape 7475" style="position:absolute;width:21366;height:91;left:0;top:0;" coordsize="2136648,9144" path="m0,0l2136648,0l2136648,9144l0,9144l0,0">
                  <v:stroke weight="0pt" endcap="flat" joinstyle="miter" miterlimit="10" on="false" color="#000000" opacity="0"/>
                  <v:fill on="true" color="#7f7f7f"/>
                </v:shape>
              </v:group>
            </w:pict>
          </mc:Fallback>
        </mc:AlternateContent>
      </w:r>
    </w:p>
    <w:p w14:paraId="3D498E4A" w14:textId="77777777" w:rsidR="00F85F9B" w:rsidRPr="00E95348" w:rsidRDefault="00000000">
      <w:pPr>
        <w:numPr>
          <w:ilvl w:val="0"/>
          <w:numId w:val="8"/>
        </w:numPr>
        <w:spacing w:after="4" w:line="254" w:lineRule="auto"/>
        <w:ind w:hanging="10"/>
        <w:jc w:val="both"/>
        <w:rPr>
          <w:lang w:val="pt-BR"/>
        </w:rPr>
      </w:pPr>
      <w:r w:rsidRPr="00E95348">
        <w:rPr>
          <w:rFonts w:ascii="Times New Roman" w:eastAsia="Times New Roman" w:hAnsi="Times New Roman" w:cs="Times New Roman"/>
          <w:sz w:val="20"/>
          <w:lang w:val="pt-BR"/>
        </w:rPr>
        <w:t>A MP 252, de 2005 perdeu eficácia, mas a isenção ora discutida foi inserida no PL de conversão da MP nº 255, de 2005,que originou a Lei nº 11.196, de 2005.</w:t>
      </w:r>
    </w:p>
    <w:p w14:paraId="49E4732A" w14:textId="77777777" w:rsidR="00F85F9B" w:rsidRDefault="00000000">
      <w:pPr>
        <w:numPr>
          <w:ilvl w:val="0"/>
          <w:numId w:val="8"/>
        </w:numPr>
        <w:spacing w:after="4" w:line="254" w:lineRule="auto"/>
        <w:ind w:hanging="10"/>
        <w:jc w:val="both"/>
      </w:pPr>
      <w:r w:rsidRPr="00E95348">
        <w:rPr>
          <w:rFonts w:ascii="Times New Roman" w:eastAsia="Times New Roman" w:hAnsi="Times New Roman" w:cs="Times New Roman"/>
          <w:sz w:val="20"/>
          <w:lang w:val="pt-BR"/>
        </w:rPr>
        <w:t xml:space="preserve">Art. 2º Sem prejuízo do disposto no artigo precedente, fica dispensada a apresentação de contestação, oferecimento decontrarrazões, interposição de recursos, bem como recomendada a desistência dos já interpostos, nas seguintes hipóteses: (...) </w:t>
      </w:r>
      <w:r>
        <w:rPr>
          <w:rFonts w:ascii="Times New Roman" w:eastAsia="Times New Roman" w:hAnsi="Times New Roman" w:cs="Times New Roman"/>
          <w:sz w:val="20"/>
        </w:rPr>
        <w:t>VII - tema sobre o qual exista jurisprudência consolidada do STF em matéria constitucional ou de Tribunais Superiores em matéria infraconstitucional, em sentido desfavorável à Fazenda Nacional; (...)</w:t>
      </w:r>
    </w:p>
    <w:p w14:paraId="5C22FAA2" w14:textId="77777777" w:rsidR="00F85F9B" w:rsidRDefault="00000000">
      <w:pPr>
        <w:spacing w:after="0"/>
      </w:pPr>
      <w:r>
        <w:rPr>
          <w:noProof/>
        </w:rPr>
        <mc:AlternateContent>
          <mc:Choice Requires="wpg">
            <w:drawing>
              <wp:inline distT="0" distB="0" distL="0" distR="0" wp14:anchorId="2F3B1525" wp14:editId="08A704C9">
                <wp:extent cx="6477000" cy="12192"/>
                <wp:effectExtent l="0" t="0" r="0" b="0"/>
                <wp:docPr id="6148" name="Group 6148"/>
                <wp:cNvGraphicFramePr/>
                <a:graphic xmlns:a="http://schemas.openxmlformats.org/drawingml/2006/main">
                  <a:graphicData uri="http://schemas.microsoft.com/office/word/2010/wordprocessingGroup">
                    <wpg:wgp>
                      <wpg:cNvGrpSpPr/>
                      <wpg:grpSpPr>
                        <a:xfrm>
                          <a:off x="0" y="0"/>
                          <a:ext cx="6477000" cy="12192"/>
                          <a:chOff x="0" y="0"/>
                          <a:chExt cx="6477000" cy="12192"/>
                        </a:xfrm>
                      </wpg:grpSpPr>
                      <wps:wsp>
                        <wps:cNvPr id="7480" name="Shape 7480"/>
                        <wps:cNvSpPr/>
                        <wps:spPr>
                          <a:xfrm>
                            <a:off x="0" y="0"/>
                            <a:ext cx="6477000" cy="9144"/>
                          </a:xfrm>
                          <a:custGeom>
                            <a:avLst/>
                            <a:gdLst/>
                            <a:ahLst/>
                            <a:cxnLst/>
                            <a:rect l="0" t="0" r="0" b="0"/>
                            <a:pathLst>
                              <a:path w="6477000" h="9144">
                                <a:moveTo>
                                  <a:pt x="0" y="0"/>
                                </a:moveTo>
                                <a:lnTo>
                                  <a:pt x="6477000" y="0"/>
                                </a:lnTo>
                                <a:lnTo>
                                  <a:pt x="6477000" y="9144"/>
                                </a:lnTo>
                                <a:lnTo>
                                  <a:pt x="0" y="9144"/>
                                </a:lnTo>
                                <a:lnTo>
                                  <a:pt x="0" y="0"/>
                                </a:lnTo>
                              </a:path>
                            </a:pathLst>
                          </a:custGeom>
                          <a:ln w="0" cap="flat">
                            <a:miter lim="127000"/>
                          </a:ln>
                        </wps:spPr>
                        <wps:style>
                          <a:lnRef idx="0">
                            <a:srgbClr val="000000">
                              <a:alpha val="0"/>
                            </a:srgbClr>
                          </a:lnRef>
                          <a:fillRef idx="1">
                            <a:srgbClr val="474747"/>
                          </a:fillRef>
                          <a:effectRef idx="0">
                            <a:scrgbClr r="0" g="0" b="0"/>
                          </a:effectRef>
                          <a:fontRef idx="none"/>
                        </wps:style>
                        <wps:bodyPr/>
                      </wps:wsp>
                      <wps:wsp>
                        <wps:cNvPr id="7481" name="Shape 7481"/>
                        <wps:cNvSpPr/>
                        <wps:spPr>
                          <a:xfrm>
                            <a:off x="646938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7482" name="Shape 7482"/>
                        <wps:cNvSpPr/>
                        <wps:spPr>
                          <a:xfrm>
                            <a:off x="0" y="6096"/>
                            <a:ext cx="6477000" cy="9144"/>
                          </a:xfrm>
                          <a:custGeom>
                            <a:avLst/>
                            <a:gdLst/>
                            <a:ahLst/>
                            <a:cxnLst/>
                            <a:rect l="0" t="0" r="0" b="0"/>
                            <a:pathLst>
                              <a:path w="6477000" h="9144">
                                <a:moveTo>
                                  <a:pt x="0" y="0"/>
                                </a:moveTo>
                                <a:lnTo>
                                  <a:pt x="6477000" y="0"/>
                                </a:lnTo>
                                <a:lnTo>
                                  <a:pt x="6477000"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inline>
            </w:drawing>
          </mc:Choice>
          <mc:Fallback xmlns:a="http://schemas.openxmlformats.org/drawingml/2006/main">
            <w:pict>
              <v:group id="Group 6148" style="width:510pt;height:0.960022pt;mso-position-horizontal-relative:char;mso-position-vertical-relative:line" coordsize="64770,121">
                <v:shape id="Shape 7483" style="position:absolute;width:64770;height:91;left:0;top:0;" coordsize="6477000,9144" path="m0,0l6477000,0l6477000,9144l0,9144l0,0">
                  <v:stroke weight="0pt" endcap="flat" joinstyle="miter" miterlimit="10" on="false" color="#000000" opacity="0"/>
                  <v:fill on="true" color="#474747"/>
                </v:shape>
                <v:shape id="Shape 7484" style="position:absolute;width:91;height:91;left:64693;top:0;" coordsize="9144,9144" path="m0,0l9144,0l9144,9144l0,9144l0,0">
                  <v:stroke weight="0pt" endcap="flat" joinstyle="miter" miterlimit="10" on="false" color="#000000" opacity="0"/>
                  <v:fill on="true" color="#d8d8d8"/>
                </v:shape>
                <v:shape id="Shape 7485" style="position:absolute;width:64770;height:91;left:0;top:60;" coordsize="6477000,9144" path="m0,0l6477000,0l6477000,9144l0,9144l0,0">
                  <v:stroke weight="0pt" endcap="flat" joinstyle="miter" miterlimit="10" on="false" color="#000000" opacity="0"/>
                  <v:fill on="true" color="#d8d8d8"/>
                </v:shape>
              </v:group>
            </w:pict>
          </mc:Fallback>
        </mc:AlternateContent>
      </w:r>
    </w:p>
    <w:p w14:paraId="44F5F3AA" w14:textId="77777777" w:rsidR="00F85F9B" w:rsidRPr="00E95348" w:rsidRDefault="00000000">
      <w:pPr>
        <w:spacing w:after="330" w:line="240" w:lineRule="auto"/>
        <w:ind w:left="1435" w:right="9" w:hanging="10"/>
        <w:rPr>
          <w:lang w:val="pt-BR"/>
        </w:rPr>
      </w:pPr>
      <w:r w:rsidRPr="00E95348">
        <w:rPr>
          <w:lang w:val="pt-BR"/>
        </w:rPr>
        <w:t xml:space="preserve">Documento assinado eletronicamente por </w:t>
      </w:r>
      <w:r w:rsidRPr="00E95348">
        <w:rPr>
          <w:b/>
          <w:lang w:val="pt-BR"/>
        </w:rPr>
        <w:t>Geila Lídia Barreto Barbosa Diniz</w:t>
      </w:r>
      <w:r w:rsidRPr="00E95348">
        <w:rPr>
          <w:lang w:val="pt-BR"/>
        </w:rPr>
        <w:t xml:space="preserve">, </w:t>
      </w:r>
      <w:r w:rsidRPr="00E95348">
        <w:rPr>
          <w:b/>
          <w:lang w:val="pt-BR"/>
        </w:rPr>
        <w:t>Procurador(a) da Fazenda Nacional</w:t>
      </w:r>
      <w:r w:rsidRPr="00E95348">
        <w:rPr>
          <w:lang w:val="pt-BR"/>
        </w:rPr>
        <w:t xml:space="preserve">, em 08/08/2018, às 11:13, conforme horário oficial de Brasília, com fundamento no art. 6º, § 1º, do </w:t>
      </w:r>
      <w:r w:rsidRPr="00E95348">
        <w:rPr>
          <w:color w:val="551A8B"/>
          <w:u w:val="single" w:color="551A8B"/>
          <w:lang w:val="pt-BR"/>
        </w:rPr>
        <w:t>Decreto nº 8.539, de 8 de outubro de 2015</w:t>
      </w:r>
      <w:r w:rsidRPr="00E95348">
        <w:rPr>
          <w:lang w:val="pt-BR"/>
        </w:rPr>
        <w:t>.</w:t>
      </w:r>
    </w:p>
    <w:p w14:paraId="2A91A04B" w14:textId="77777777" w:rsidR="00F85F9B" w:rsidRPr="00E95348" w:rsidRDefault="00000000">
      <w:pPr>
        <w:spacing w:after="330" w:line="240" w:lineRule="auto"/>
        <w:ind w:left="1435" w:right="9" w:hanging="10"/>
        <w:rPr>
          <w:lang w:val="pt-BR"/>
        </w:rPr>
      </w:pPr>
      <w:r w:rsidRPr="00E95348">
        <w:rPr>
          <w:lang w:val="pt-BR"/>
        </w:rPr>
        <w:t xml:space="preserve">Documento assinado eletronicamente por </w:t>
      </w:r>
      <w:r w:rsidRPr="00E95348">
        <w:rPr>
          <w:b/>
          <w:lang w:val="pt-BR"/>
        </w:rPr>
        <w:t>Filipe Aguiar de Barros</w:t>
      </w:r>
      <w:r w:rsidRPr="00E95348">
        <w:rPr>
          <w:lang w:val="pt-BR"/>
        </w:rPr>
        <w:t xml:space="preserve">, </w:t>
      </w:r>
      <w:r w:rsidRPr="00E95348">
        <w:rPr>
          <w:b/>
          <w:lang w:val="pt-BR"/>
        </w:rPr>
        <w:t>Coordenador(a)-Geral da Representação Judicial</w:t>
      </w:r>
      <w:r w:rsidRPr="00E95348">
        <w:rPr>
          <w:lang w:val="pt-BR"/>
        </w:rPr>
        <w:t xml:space="preserve">, em 08/08/2018, às 11:25, conforme horário oficial de Brasília, com fundamento no art. 6º, § 1º, do </w:t>
      </w:r>
      <w:r w:rsidRPr="00E95348">
        <w:rPr>
          <w:color w:val="551A8B"/>
          <w:u w:val="single" w:color="551A8B"/>
          <w:lang w:val="pt-BR"/>
        </w:rPr>
        <w:t>Decreto nº 8.539, de 8 de outubro de 2015</w:t>
      </w:r>
      <w:r w:rsidRPr="00E95348">
        <w:rPr>
          <w:lang w:val="pt-BR"/>
        </w:rPr>
        <w:t>.</w:t>
      </w:r>
    </w:p>
    <w:p w14:paraId="2FBF276D" w14:textId="77777777" w:rsidR="00F85F9B" w:rsidRPr="00E95348" w:rsidRDefault="00000000">
      <w:pPr>
        <w:spacing w:after="488" w:line="240" w:lineRule="auto"/>
        <w:ind w:left="1435" w:right="9" w:hanging="10"/>
        <w:rPr>
          <w:lang w:val="pt-BR"/>
        </w:rPr>
      </w:pPr>
      <w:r>
        <w:rPr>
          <w:noProof/>
        </w:rPr>
        <mc:AlternateContent>
          <mc:Choice Requires="wpg">
            <w:drawing>
              <wp:anchor distT="0" distB="0" distL="114300" distR="114300" simplePos="0" relativeHeight="251659264" behindDoc="1" locked="0" layoutInCell="1" allowOverlap="1" wp14:anchorId="0A6F4C6B" wp14:editId="6AD35D97">
                <wp:simplePos x="0" y="0"/>
                <wp:positionH relativeFrom="column">
                  <wp:posOffset>1</wp:posOffset>
                </wp:positionH>
                <wp:positionV relativeFrom="paragraph">
                  <wp:posOffset>-1527056</wp:posOffset>
                </wp:positionV>
                <wp:extent cx="6477000" cy="3313175"/>
                <wp:effectExtent l="0" t="0" r="0" b="0"/>
                <wp:wrapNone/>
                <wp:docPr id="6217" name="Group 6217"/>
                <wp:cNvGraphicFramePr/>
                <a:graphic xmlns:a="http://schemas.openxmlformats.org/drawingml/2006/main">
                  <a:graphicData uri="http://schemas.microsoft.com/office/word/2010/wordprocessingGroup">
                    <wpg:wgp>
                      <wpg:cNvGrpSpPr/>
                      <wpg:grpSpPr>
                        <a:xfrm>
                          <a:off x="0" y="0"/>
                          <a:ext cx="6477000" cy="3313175"/>
                          <a:chOff x="0" y="0"/>
                          <a:chExt cx="6477000" cy="3313175"/>
                        </a:xfrm>
                      </wpg:grpSpPr>
                      <wps:wsp>
                        <wps:cNvPr id="7486" name="Shape 7486"/>
                        <wps:cNvSpPr/>
                        <wps:spPr>
                          <a:xfrm>
                            <a:off x="0" y="643127"/>
                            <a:ext cx="6477000" cy="9144"/>
                          </a:xfrm>
                          <a:custGeom>
                            <a:avLst/>
                            <a:gdLst/>
                            <a:ahLst/>
                            <a:cxnLst/>
                            <a:rect l="0" t="0" r="0" b="0"/>
                            <a:pathLst>
                              <a:path w="6477000" h="9144">
                                <a:moveTo>
                                  <a:pt x="0" y="0"/>
                                </a:moveTo>
                                <a:lnTo>
                                  <a:pt x="6477000" y="0"/>
                                </a:lnTo>
                                <a:lnTo>
                                  <a:pt x="6477000" y="9144"/>
                                </a:lnTo>
                                <a:lnTo>
                                  <a:pt x="0" y="9144"/>
                                </a:lnTo>
                                <a:lnTo>
                                  <a:pt x="0" y="0"/>
                                </a:lnTo>
                              </a:path>
                            </a:pathLst>
                          </a:custGeom>
                          <a:ln w="0" cap="flat">
                            <a:miter lim="127000"/>
                          </a:ln>
                        </wps:spPr>
                        <wps:style>
                          <a:lnRef idx="0">
                            <a:srgbClr val="000000">
                              <a:alpha val="0"/>
                            </a:srgbClr>
                          </a:lnRef>
                          <a:fillRef idx="1">
                            <a:srgbClr val="474747"/>
                          </a:fillRef>
                          <a:effectRef idx="0">
                            <a:scrgbClr r="0" g="0" b="0"/>
                          </a:effectRef>
                          <a:fontRef idx="none"/>
                        </wps:style>
                        <wps:bodyPr/>
                      </wps:wsp>
                      <wps:wsp>
                        <wps:cNvPr id="7487" name="Shape 7487"/>
                        <wps:cNvSpPr/>
                        <wps:spPr>
                          <a:xfrm>
                            <a:off x="6469380" y="643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7488" name="Shape 7488"/>
                        <wps:cNvSpPr/>
                        <wps:spPr>
                          <a:xfrm>
                            <a:off x="0" y="649223"/>
                            <a:ext cx="6477000" cy="9144"/>
                          </a:xfrm>
                          <a:custGeom>
                            <a:avLst/>
                            <a:gdLst/>
                            <a:ahLst/>
                            <a:cxnLst/>
                            <a:rect l="0" t="0" r="0" b="0"/>
                            <a:pathLst>
                              <a:path w="6477000" h="9144">
                                <a:moveTo>
                                  <a:pt x="0" y="0"/>
                                </a:moveTo>
                                <a:lnTo>
                                  <a:pt x="6477000" y="0"/>
                                </a:lnTo>
                                <a:lnTo>
                                  <a:pt x="6477000"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7489" name="Shape 7489"/>
                        <wps:cNvSpPr/>
                        <wps:spPr>
                          <a:xfrm>
                            <a:off x="0" y="1367027"/>
                            <a:ext cx="6477000" cy="9144"/>
                          </a:xfrm>
                          <a:custGeom>
                            <a:avLst/>
                            <a:gdLst/>
                            <a:ahLst/>
                            <a:cxnLst/>
                            <a:rect l="0" t="0" r="0" b="0"/>
                            <a:pathLst>
                              <a:path w="6477000" h="9144">
                                <a:moveTo>
                                  <a:pt x="0" y="0"/>
                                </a:moveTo>
                                <a:lnTo>
                                  <a:pt x="6477000" y="0"/>
                                </a:lnTo>
                                <a:lnTo>
                                  <a:pt x="6477000" y="9144"/>
                                </a:lnTo>
                                <a:lnTo>
                                  <a:pt x="0" y="9144"/>
                                </a:lnTo>
                                <a:lnTo>
                                  <a:pt x="0" y="0"/>
                                </a:lnTo>
                              </a:path>
                            </a:pathLst>
                          </a:custGeom>
                          <a:ln w="0" cap="flat">
                            <a:miter lim="127000"/>
                          </a:ln>
                        </wps:spPr>
                        <wps:style>
                          <a:lnRef idx="0">
                            <a:srgbClr val="000000">
                              <a:alpha val="0"/>
                            </a:srgbClr>
                          </a:lnRef>
                          <a:fillRef idx="1">
                            <a:srgbClr val="474747"/>
                          </a:fillRef>
                          <a:effectRef idx="0">
                            <a:scrgbClr r="0" g="0" b="0"/>
                          </a:effectRef>
                          <a:fontRef idx="none"/>
                        </wps:style>
                        <wps:bodyPr/>
                      </wps:wsp>
                      <wps:wsp>
                        <wps:cNvPr id="7490" name="Shape 7490"/>
                        <wps:cNvSpPr/>
                        <wps:spPr>
                          <a:xfrm>
                            <a:off x="6469380" y="13670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7491" name="Shape 7491"/>
                        <wps:cNvSpPr/>
                        <wps:spPr>
                          <a:xfrm>
                            <a:off x="0" y="1373123"/>
                            <a:ext cx="6477000" cy="9144"/>
                          </a:xfrm>
                          <a:custGeom>
                            <a:avLst/>
                            <a:gdLst/>
                            <a:ahLst/>
                            <a:cxnLst/>
                            <a:rect l="0" t="0" r="0" b="0"/>
                            <a:pathLst>
                              <a:path w="6477000" h="9144">
                                <a:moveTo>
                                  <a:pt x="0" y="0"/>
                                </a:moveTo>
                                <a:lnTo>
                                  <a:pt x="6477000" y="0"/>
                                </a:lnTo>
                                <a:lnTo>
                                  <a:pt x="6477000"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7492" name="Shape 7492"/>
                        <wps:cNvSpPr/>
                        <wps:spPr>
                          <a:xfrm>
                            <a:off x="0" y="2090927"/>
                            <a:ext cx="6477000" cy="9144"/>
                          </a:xfrm>
                          <a:custGeom>
                            <a:avLst/>
                            <a:gdLst/>
                            <a:ahLst/>
                            <a:cxnLst/>
                            <a:rect l="0" t="0" r="0" b="0"/>
                            <a:pathLst>
                              <a:path w="6477000" h="9144">
                                <a:moveTo>
                                  <a:pt x="0" y="0"/>
                                </a:moveTo>
                                <a:lnTo>
                                  <a:pt x="6477000" y="0"/>
                                </a:lnTo>
                                <a:lnTo>
                                  <a:pt x="6477000" y="9144"/>
                                </a:lnTo>
                                <a:lnTo>
                                  <a:pt x="0" y="9144"/>
                                </a:lnTo>
                                <a:lnTo>
                                  <a:pt x="0" y="0"/>
                                </a:lnTo>
                              </a:path>
                            </a:pathLst>
                          </a:custGeom>
                          <a:ln w="0" cap="flat">
                            <a:miter lim="127000"/>
                          </a:ln>
                        </wps:spPr>
                        <wps:style>
                          <a:lnRef idx="0">
                            <a:srgbClr val="000000">
                              <a:alpha val="0"/>
                            </a:srgbClr>
                          </a:lnRef>
                          <a:fillRef idx="1">
                            <a:srgbClr val="474747"/>
                          </a:fillRef>
                          <a:effectRef idx="0">
                            <a:scrgbClr r="0" g="0" b="0"/>
                          </a:effectRef>
                          <a:fontRef idx="none"/>
                        </wps:style>
                        <wps:bodyPr/>
                      </wps:wsp>
                      <wps:wsp>
                        <wps:cNvPr id="7493" name="Shape 7493"/>
                        <wps:cNvSpPr/>
                        <wps:spPr>
                          <a:xfrm>
                            <a:off x="6469380" y="20909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7494" name="Shape 7494"/>
                        <wps:cNvSpPr/>
                        <wps:spPr>
                          <a:xfrm>
                            <a:off x="0" y="2097023"/>
                            <a:ext cx="6477000" cy="9144"/>
                          </a:xfrm>
                          <a:custGeom>
                            <a:avLst/>
                            <a:gdLst/>
                            <a:ahLst/>
                            <a:cxnLst/>
                            <a:rect l="0" t="0" r="0" b="0"/>
                            <a:pathLst>
                              <a:path w="6477000" h="9144">
                                <a:moveTo>
                                  <a:pt x="0" y="0"/>
                                </a:moveTo>
                                <a:lnTo>
                                  <a:pt x="6477000" y="0"/>
                                </a:lnTo>
                                <a:lnTo>
                                  <a:pt x="6477000"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7495" name="Shape 7495"/>
                        <wps:cNvSpPr/>
                        <wps:spPr>
                          <a:xfrm>
                            <a:off x="9144" y="3028187"/>
                            <a:ext cx="6457188" cy="9144"/>
                          </a:xfrm>
                          <a:custGeom>
                            <a:avLst/>
                            <a:gdLst/>
                            <a:ahLst/>
                            <a:cxnLst/>
                            <a:rect l="0" t="0" r="0" b="0"/>
                            <a:pathLst>
                              <a:path w="6457188" h="9144">
                                <a:moveTo>
                                  <a:pt x="0" y="0"/>
                                </a:moveTo>
                                <a:lnTo>
                                  <a:pt x="6457188" y="0"/>
                                </a:lnTo>
                                <a:lnTo>
                                  <a:pt x="6457188" y="9144"/>
                                </a:lnTo>
                                <a:lnTo>
                                  <a:pt x="0" y="9144"/>
                                </a:lnTo>
                                <a:lnTo>
                                  <a:pt x="0" y="0"/>
                                </a:lnTo>
                              </a:path>
                            </a:pathLst>
                          </a:custGeom>
                          <a:ln w="0" cap="flat">
                            <a:miter lim="127000"/>
                          </a:ln>
                        </wps:spPr>
                        <wps:style>
                          <a:lnRef idx="0">
                            <a:srgbClr val="000000">
                              <a:alpha val="0"/>
                            </a:srgbClr>
                          </a:lnRef>
                          <a:fillRef idx="1">
                            <a:srgbClr val="474747"/>
                          </a:fillRef>
                          <a:effectRef idx="0">
                            <a:scrgbClr r="0" g="0" b="0"/>
                          </a:effectRef>
                          <a:fontRef idx="none"/>
                        </wps:style>
                        <wps:bodyPr/>
                      </wps:wsp>
                      <wps:wsp>
                        <wps:cNvPr id="7496" name="Shape 7496"/>
                        <wps:cNvSpPr/>
                        <wps:spPr>
                          <a:xfrm>
                            <a:off x="6460236" y="30281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7497" name="Shape 7497"/>
                        <wps:cNvSpPr/>
                        <wps:spPr>
                          <a:xfrm>
                            <a:off x="9144" y="3034284"/>
                            <a:ext cx="6457188" cy="9144"/>
                          </a:xfrm>
                          <a:custGeom>
                            <a:avLst/>
                            <a:gdLst/>
                            <a:ahLst/>
                            <a:cxnLst/>
                            <a:rect l="0" t="0" r="0" b="0"/>
                            <a:pathLst>
                              <a:path w="6457188" h="9144">
                                <a:moveTo>
                                  <a:pt x="0" y="0"/>
                                </a:moveTo>
                                <a:lnTo>
                                  <a:pt x="6457188" y="0"/>
                                </a:lnTo>
                                <a:lnTo>
                                  <a:pt x="6457188"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7498" name="Shape 7498"/>
                        <wps:cNvSpPr/>
                        <wps:spPr>
                          <a:xfrm>
                            <a:off x="18288" y="3288792"/>
                            <a:ext cx="6438899" cy="9144"/>
                          </a:xfrm>
                          <a:custGeom>
                            <a:avLst/>
                            <a:gdLst/>
                            <a:ahLst/>
                            <a:cxnLst/>
                            <a:rect l="0" t="0" r="0" b="0"/>
                            <a:pathLst>
                              <a:path w="6438899" h="9144">
                                <a:moveTo>
                                  <a:pt x="0" y="0"/>
                                </a:moveTo>
                                <a:lnTo>
                                  <a:pt x="6438899" y="0"/>
                                </a:lnTo>
                                <a:lnTo>
                                  <a:pt x="6438899" y="9144"/>
                                </a:lnTo>
                                <a:lnTo>
                                  <a:pt x="0" y="9144"/>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7499" name="Shape 7499"/>
                        <wps:cNvSpPr/>
                        <wps:spPr>
                          <a:xfrm>
                            <a:off x="18288" y="3307080"/>
                            <a:ext cx="6438899" cy="9144"/>
                          </a:xfrm>
                          <a:custGeom>
                            <a:avLst/>
                            <a:gdLst/>
                            <a:ahLst/>
                            <a:cxnLst/>
                            <a:rect l="0" t="0" r="0" b="0"/>
                            <a:pathLst>
                              <a:path w="6438899" h="9144">
                                <a:moveTo>
                                  <a:pt x="0" y="0"/>
                                </a:moveTo>
                                <a:lnTo>
                                  <a:pt x="6438899" y="0"/>
                                </a:lnTo>
                                <a:lnTo>
                                  <a:pt x="6438899" y="9144"/>
                                </a:lnTo>
                                <a:lnTo>
                                  <a:pt x="0" y="9144"/>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pic:pic xmlns:pic="http://schemas.openxmlformats.org/drawingml/2006/picture">
                        <pic:nvPicPr>
                          <pic:cNvPr id="510" name="Picture 510"/>
                          <pic:cNvPicPr/>
                        </pic:nvPicPr>
                        <pic:blipFill>
                          <a:blip r:embed="rId8"/>
                          <a:stretch>
                            <a:fillRect/>
                          </a:stretch>
                        </pic:blipFill>
                        <pic:spPr>
                          <a:xfrm>
                            <a:off x="28956" y="0"/>
                            <a:ext cx="847344" cy="571500"/>
                          </a:xfrm>
                          <a:prstGeom prst="rect">
                            <a:avLst/>
                          </a:prstGeom>
                        </pic:spPr>
                      </pic:pic>
                      <pic:pic xmlns:pic="http://schemas.openxmlformats.org/drawingml/2006/picture">
                        <pic:nvPicPr>
                          <pic:cNvPr id="522" name="Picture 522"/>
                          <pic:cNvPicPr/>
                        </pic:nvPicPr>
                        <pic:blipFill>
                          <a:blip r:embed="rId8"/>
                          <a:stretch>
                            <a:fillRect/>
                          </a:stretch>
                        </pic:blipFill>
                        <pic:spPr>
                          <a:xfrm>
                            <a:off x="28956" y="723900"/>
                            <a:ext cx="847344" cy="571500"/>
                          </a:xfrm>
                          <a:prstGeom prst="rect">
                            <a:avLst/>
                          </a:prstGeom>
                        </pic:spPr>
                      </pic:pic>
                      <pic:pic xmlns:pic="http://schemas.openxmlformats.org/drawingml/2006/picture">
                        <pic:nvPicPr>
                          <pic:cNvPr id="534" name="Picture 534"/>
                          <pic:cNvPicPr/>
                        </pic:nvPicPr>
                        <pic:blipFill>
                          <a:blip r:embed="rId8"/>
                          <a:stretch>
                            <a:fillRect/>
                          </a:stretch>
                        </pic:blipFill>
                        <pic:spPr>
                          <a:xfrm>
                            <a:off x="28956" y="1447800"/>
                            <a:ext cx="847344" cy="571500"/>
                          </a:xfrm>
                          <a:prstGeom prst="rect">
                            <a:avLst/>
                          </a:prstGeom>
                        </pic:spPr>
                      </pic:pic>
                      <pic:pic xmlns:pic="http://schemas.openxmlformats.org/drawingml/2006/picture">
                        <pic:nvPicPr>
                          <pic:cNvPr id="546" name="Picture 546"/>
                          <pic:cNvPicPr/>
                        </pic:nvPicPr>
                        <pic:blipFill>
                          <a:blip r:embed="rId9"/>
                          <a:stretch>
                            <a:fillRect/>
                          </a:stretch>
                        </pic:blipFill>
                        <pic:spPr>
                          <a:xfrm>
                            <a:off x="28956" y="2171699"/>
                            <a:ext cx="818388" cy="818388"/>
                          </a:xfrm>
                          <a:prstGeom prst="rect">
                            <a:avLst/>
                          </a:prstGeom>
                        </pic:spPr>
                      </pic:pic>
                    </wpg:wgp>
                  </a:graphicData>
                </a:graphic>
              </wp:anchor>
            </w:drawing>
          </mc:Choice>
          <mc:Fallback xmlns:a="http://schemas.openxmlformats.org/drawingml/2006/main">
            <w:pict>
              <v:group id="Group 6217" style="width:510pt;height:260.88pt;position:absolute;z-index:-2147483636;mso-position-horizontal-relative:text;mso-position-horizontal:absolute;margin-left:9.53674e-05pt;mso-position-vertical-relative:text;margin-top:-120.241pt;" coordsize="64770,33131">
                <v:shape id="Shape 7500" style="position:absolute;width:64770;height:91;left:0;top:6431;" coordsize="6477000,9144" path="m0,0l6477000,0l6477000,9144l0,9144l0,0">
                  <v:stroke weight="0pt" endcap="flat" joinstyle="miter" miterlimit="10" on="false" color="#000000" opacity="0"/>
                  <v:fill on="true" color="#474747"/>
                </v:shape>
                <v:shape id="Shape 7501" style="position:absolute;width:91;height:91;left:64693;top:6431;" coordsize="9144,9144" path="m0,0l9144,0l9144,9144l0,9144l0,0">
                  <v:stroke weight="0pt" endcap="flat" joinstyle="miter" miterlimit="10" on="false" color="#000000" opacity="0"/>
                  <v:fill on="true" color="#d8d8d8"/>
                </v:shape>
                <v:shape id="Shape 7502" style="position:absolute;width:64770;height:91;left:0;top:6492;" coordsize="6477000,9144" path="m0,0l6477000,0l6477000,9144l0,9144l0,0">
                  <v:stroke weight="0pt" endcap="flat" joinstyle="miter" miterlimit="10" on="false" color="#000000" opacity="0"/>
                  <v:fill on="true" color="#d8d8d8"/>
                </v:shape>
                <v:shape id="Shape 7503" style="position:absolute;width:64770;height:91;left:0;top:13670;" coordsize="6477000,9144" path="m0,0l6477000,0l6477000,9144l0,9144l0,0">
                  <v:stroke weight="0pt" endcap="flat" joinstyle="miter" miterlimit="10" on="false" color="#000000" opacity="0"/>
                  <v:fill on="true" color="#474747"/>
                </v:shape>
                <v:shape id="Shape 7504" style="position:absolute;width:91;height:91;left:64693;top:13670;" coordsize="9144,9144" path="m0,0l9144,0l9144,9144l0,9144l0,0">
                  <v:stroke weight="0pt" endcap="flat" joinstyle="miter" miterlimit="10" on="false" color="#000000" opacity="0"/>
                  <v:fill on="true" color="#d8d8d8"/>
                </v:shape>
                <v:shape id="Shape 7505" style="position:absolute;width:64770;height:91;left:0;top:13731;" coordsize="6477000,9144" path="m0,0l6477000,0l6477000,9144l0,9144l0,0">
                  <v:stroke weight="0pt" endcap="flat" joinstyle="miter" miterlimit="10" on="false" color="#000000" opacity="0"/>
                  <v:fill on="true" color="#d8d8d8"/>
                </v:shape>
                <v:shape id="Shape 7506" style="position:absolute;width:64770;height:91;left:0;top:20909;" coordsize="6477000,9144" path="m0,0l6477000,0l6477000,9144l0,9144l0,0">
                  <v:stroke weight="0pt" endcap="flat" joinstyle="miter" miterlimit="10" on="false" color="#000000" opacity="0"/>
                  <v:fill on="true" color="#474747"/>
                </v:shape>
                <v:shape id="Shape 7507" style="position:absolute;width:91;height:91;left:64693;top:20909;" coordsize="9144,9144" path="m0,0l9144,0l9144,9144l0,9144l0,0">
                  <v:stroke weight="0pt" endcap="flat" joinstyle="miter" miterlimit="10" on="false" color="#000000" opacity="0"/>
                  <v:fill on="true" color="#d8d8d8"/>
                </v:shape>
                <v:shape id="Shape 7508" style="position:absolute;width:64770;height:91;left:0;top:20970;" coordsize="6477000,9144" path="m0,0l6477000,0l6477000,9144l0,9144l0,0">
                  <v:stroke weight="0pt" endcap="flat" joinstyle="miter" miterlimit="10" on="false" color="#000000" opacity="0"/>
                  <v:fill on="true" color="#d8d8d8"/>
                </v:shape>
                <v:shape id="Shape 7509" style="position:absolute;width:64571;height:91;left:91;top:30281;" coordsize="6457188,9144" path="m0,0l6457188,0l6457188,9144l0,9144l0,0">
                  <v:stroke weight="0pt" endcap="flat" joinstyle="miter" miterlimit="10" on="false" color="#000000" opacity="0"/>
                  <v:fill on="true" color="#474747"/>
                </v:shape>
                <v:shape id="Shape 7510" style="position:absolute;width:91;height:91;left:64602;top:30281;" coordsize="9144,9144" path="m0,0l9144,0l9144,9144l0,9144l0,0">
                  <v:stroke weight="0pt" endcap="flat" joinstyle="miter" miterlimit="10" on="false" color="#000000" opacity="0"/>
                  <v:fill on="true" color="#d8d8d8"/>
                </v:shape>
                <v:shape id="Shape 7511" style="position:absolute;width:64571;height:91;left:91;top:30342;" coordsize="6457188,9144" path="m0,0l6457188,0l6457188,9144l0,9144l0,0">
                  <v:stroke weight="0pt" endcap="flat" joinstyle="miter" miterlimit="10" on="false" color="#000000" opacity="0"/>
                  <v:fill on="true" color="#d8d8d8"/>
                </v:shape>
                <v:shape id="Shape 7512" style="position:absolute;width:64388;height:91;left:182;top:32887;" coordsize="6438899,9144" path="m0,0l6438899,0l6438899,9144l0,9144l0,0">
                  <v:stroke weight="0pt" endcap="flat" joinstyle="miter" miterlimit="10" on="false" color="#000000" opacity="0"/>
                  <v:fill on="true" color="#333333"/>
                </v:shape>
                <v:shape id="Shape 7513" style="position:absolute;width:64388;height:91;left:182;top:33070;" coordsize="6438899,9144" path="m0,0l6438899,0l6438899,9144l0,9144l0,0">
                  <v:stroke weight="0pt" endcap="flat" joinstyle="miter" miterlimit="10" on="false" color="#000000" opacity="0"/>
                  <v:fill on="true" color="#333333"/>
                </v:shape>
                <v:shape id="Picture 510" style="position:absolute;width:8473;height:5715;left:289;top:0;" filled="f">
                  <v:imagedata r:id="rId10"/>
                </v:shape>
                <v:shape id="Picture 522" style="position:absolute;width:8473;height:5715;left:289;top:7239;" filled="f">
                  <v:imagedata r:id="rId10"/>
                </v:shape>
                <v:shape id="Picture 534" style="position:absolute;width:8473;height:5715;left:289;top:14478;" filled="f">
                  <v:imagedata r:id="rId10"/>
                </v:shape>
                <v:shape id="Picture 546" style="position:absolute;width:8183;height:8183;left:289;top:21716;" filled="f">
                  <v:imagedata r:id="rId11"/>
                </v:shape>
              </v:group>
            </w:pict>
          </mc:Fallback>
        </mc:AlternateContent>
      </w:r>
      <w:r w:rsidRPr="00E95348">
        <w:rPr>
          <w:lang w:val="pt-BR"/>
        </w:rPr>
        <w:t xml:space="preserve">Documento assinado eletronicamente por </w:t>
      </w:r>
      <w:r w:rsidRPr="00E95348">
        <w:rPr>
          <w:b/>
          <w:lang w:val="pt-BR"/>
        </w:rPr>
        <w:t>Claudio Xavier Seelfelder Filho</w:t>
      </w:r>
      <w:r w:rsidRPr="00E95348">
        <w:rPr>
          <w:lang w:val="pt-BR"/>
        </w:rPr>
        <w:t xml:space="preserve">, </w:t>
      </w:r>
      <w:r w:rsidRPr="00E95348">
        <w:rPr>
          <w:b/>
          <w:lang w:val="pt-BR"/>
        </w:rPr>
        <w:t>Procurador(a)-Geral Adjunto(a) da PGACET</w:t>
      </w:r>
      <w:r w:rsidRPr="00E95348">
        <w:rPr>
          <w:lang w:val="pt-BR"/>
        </w:rPr>
        <w:t xml:space="preserve">, em 13/08/2018, às 09:34, conforme horário oficial de Brasília, com fundamento no art. 6º, § 1º, do </w:t>
      </w:r>
      <w:r w:rsidRPr="00E95348">
        <w:rPr>
          <w:color w:val="551A8B"/>
          <w:u w:val="single" w:color="551A8B"/>
          <w:lang w:val="pt-BR"/>
        </w:rPr>
        <w:t>Decreto nº 8.539, de 8 de outubro de 2015</w:t>
      </w:r>
      <w:r w:rsidRPr="00E95348">
        <w:rPr>
          <w:lang w:val="pt-BR"/>
        </w:rPr>
        <w:t>.</w:t>
      </w:r>
    </w:p>
    <w:p w14:paraId="535853B1" w14:textId="77777777" w:rsidR="00F85F9B" w:rsidRPr="00E95348" w:rsidRDefault="00000000">
      <w:pPr>
        <w:spacing w:after="781" w:line="240" w:lineRule="auto"/>
        <w:ind w:left="1435" w:right="9" w:hanging="10"/>
        <w:rPr>
          <w:lang w:val="pt-BR"/>
        </w:rPr>
      </w:pPr>
      <w:r w:rsidRPr="00E95348">
        <w:rPr>
          <w:lang w:val="pt-BR"/>
        </w:rPr>
        <w:t xml:space="preserve">A auten)cidade deste documento pode ser conferida no site </w:t>
      </w:r>
      <w:r w:rsidRPr="00E95348">
        <w:rPr>
          <w:color w:val="0000EE"/>
          <w:u w:val="single" w:color="0000EE"/>
          <w:lang w:val="pt-BR"/>
        </w:rPr>
        <w:t>h*p://sei.fazenda.gov.br /sei/controlador_externo.php?acao=documento_conferir&amp;id_orgao_acesso_externo=0</w:t>
      </w:r>
      <w:r w:rsidRPr="00E95348">
        <w:rPr>
          <w:lang w:val="pt-BR"/>
        </w:rPr>
        <w:t xml:space="preserve">, informando o código verificador </w:t>
      </w:r>
      <w:r w:rsidRPr="00E95348">
        <w:rPr>
          <w:b/>
          <w:lang w:val="pt-BR"/>
        </w:rPr>
        <w:t>0975749</w:t>
      </w:r>
      <w:r w:rsidRPr="00E95348">
        <w:rPr>
          <w:lang w:val="pt-BR"/>
        </w:rPr>
        <w:t xml:space="preserve"> e o código CRC </w:t>
      </w:r>
      <w:r w:rsidRPr="00E95348">
        <w:rPr>
          <w:b/>
          <w:lang w:val="pt-BR"/>
        </w:rPr>
        <w:t>A49EA775</w:t>
      </w:r>
      <w:r w:rsidRPr="00E95348">
        <w:rPr>
          <w:lang w:val="pt-BR"/>
        </w:rPr>
        <w:t>.</w:t>
      </w:r>
    </w:p>
    <w:p w14:paraId="7E8F97FF" w14:textId="77777777" w:rsidR="00F85F9B" w:rsidRDefault="00000000">
      <w:pPr>
        <w:tabs>
          <w:tab w:val="right" w:pos="10201"/>
        </w:tabs>
        <w:spacing w:after="4" w:line="254" w:lineRule="auto"/>
      </w:pPr>
      <w:r>
        <w:rPr>
          <w:rFonts w:ascii="Times New Roman" w:eastAsia="Times New Roman" w:hAnsi="Times New Roman" w:cs="Times New Roman"/>
          <w:sz w:val="20"/>
        </w:rPr>
        <w:t>Processo nº 10951.101789/2018-67.</w:t>
      </w:r>
      <w:r>
        <w:rPr>
          <w:rFonts w:ascii="Times New Roman" w:eastAsia="Times New Roman" w:hAnsi="Times New Roman" w:cs="Times New Roman"/>
          <w:sz w:val="20"/>
        </w:rPr>
        <w:tab/>
        <w:t>SEI nº 0975749</w:t>
      </w:r>
    </w:p>
    <w:sectPr w:rsidR="00F85F9B">
      <w:headerReference w:type="even" r:id="rId12"/>
      <w:headerReference w:type="default" r:id="rId13"/>
      <w:footerReference w:type="even" r:id="rId14"/>
      <w:footerReference w:type="default" r:id="rId15"/>
      <w:headerReference w:type="first" r:id="rId16"/>
      <w:footerReference w:type="first" r:id="rId17"/>
      <w:pgSz w:w="11900" w:h="16840"/>
      <w:pgMar w:top="776" w:right="859" w:bottom="840" w:left="840" w:header="44" w:footer="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801B5" w14:textId="77777777" w:rsidR="00613AF5" w:rsidRDefault="00613AF5">
      <w:pPr>
        <w:spacing w:after="0" w:line="240" w:lineRule="auto"/>
      </w:pPr>
      <w:r>
        <w:separator/>
      </w:r>
    </w:p>
  </w:endnote>
  <w:endnote w:type="continuationSeparator" w:id="0">
    <w:p w14:paraId="54F7E245" w14:textId="77777777" w:rsidR="00613AF5" w:rsidRDefault="00613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482CD" w14:textId="77777777" w:rsidR="00F85F9B" w:rsidRDefault="00000000">
    <w:pPr>
      <w:tabs>
        <w:tab w:val="right" w:pos="11039"/>
      </w:tabs>
      <w:spacing w:after="0"/>
      <w:ind w:left="-840" w:right="-837"/>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de </w:t>
    </w:r>
    <w:fldSimple w:instr=" NUMPAGES   \* MERGEFORMAT ">
      <w:r>
        <w:rPr>
          <w:rFonts w:ascii="Times New Roman" w:eastAsia="Times New Roman" w:hAnsi="Times New Roman" w:cs="Times New Roman"/>
          <w:sz w:val="20"/>
        </w:rPr>
        <w:t>7</w:t>
      </w:r>
    </w:fldSimple>
    <w:r>
      <w:rPr>
        <w:rFonts w:ascii="Times New Roman" w:eastAsia="Times New Roman" w:hAnsi="Times New Roman" w:cs="Times New Roman"/>
        <w:sz w:val="20"/>
      </w:rPr>
      <w:tab/>
      <w:t>13/08/2018 11:58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3C8AA" w14:textId="77777777" w:rsidR="00F85F9B" w:rsidRDefault="00000000">
    <w:pPr>
      <w:tabs>
        <w:tab w:val="right" w:pos="11039"/>
      </w:tabs>
      <w:spacing w:after="0"/>
      <w:ind w:left="-840" w:right="-837"/>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de </w:t>
    </w:r>
    <w:fldSimple w:instr=" NUMPAGES   \* MERGEFORMAT ">
      <w:r>
        <w:rPr>
          <w:rFonts w:ascii="Times New Roman" w:eastAsia="Times New Roman" w:hAnsi="Times New Roman" w:cs="Times New Roman"/>
          <w:sz w:val="20"/>
        </w:rPr>
        <w:t>7</w:t>
      </w:r>
    </w:fldSimple>
    <w:r>
      <w:rPr>
        <w:rFonts w:ascii="Times New Roman" w:eastAsia="Times New Roman" w:hAnsi="Times New Roman" w:cs="Times New Roman"/>
        <w:sz w:val="20"/>
      </w:rPr>
      <w:tab/>
      <w:t>13/08/2018 11:58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B6576" w14:textId="77777777" w:rsidR="00F85F9B" w:rsidRDefault="00000000">
    <w:pPr>
      <w:tabs>
        <w:tab w:val="right" w:pos="11039"/>
      </w:tabs>
      <w:spacing w:after="0"/>
      <w:ind w:left="-840" w:right="-837"/>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de </w:t>
    </w:r>
    <w:fldSimple w:instr=" NUMPAGES   \* MERGEFORMAT ">
      <w:r>
        <w:rPr>
          <w:rFonts w:ascii="Times New Roman" w:eastAsia="Times New Roman" w:hAnsi="Times New Roman" w:cs="Times New Roman"/>
          <w:sz w:val="20"/>
        </w:rPr>
        <w:t>7</w:t>
      </w:r>
    </w:fldSimple>
    <w:r>
      <w:rPr>
        <w:rFonts w:ascii="Times New Roman" w:eastAsia="Times New Roman" w:hAnsi="Times New Roman" w:cs="Times New Roman"/>
        <w:sz w:val="20"/>
      </w:rPr>
      <w:tab/>
      <w:t>13/08/2018 11:58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342D7" w14:textId="77777777" w:rsidR="00613AF5" w:rsidRDefault="00613AF5">
      <w:pPr>
        <w:spacing w:after="0" w:line="240" w:lineRule="auto"/>
      </w:pPr>
      <w:r>
        <w:separator/>
      </w:r>
    </w:p>
  </w:footnote>
  <w:footnote w:type="continuationSeparator" w:id="0">
    <w:p w14:paraId="754F2B4A" w14:textId="77777777" w:rsidR="00613AF5" w:rsidRDefault="00613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79BAD" w14:textId="77777777" w:rsidR="00F85F9B" w:rsidRPr="00E95348" w:rsidRDefault="00000000">
    <w:pPr>
      <w:tabs>
        <w:tab w:val="right" w:pos="11039"/>
      </w:tabs>
      <w:spacing w:after="0"/>
      <w:ind w:left="-840" w:right="-838"/>
      <w:rPr>
        <w:lang w:val="pt-BR"/>
      </w:rPr>
    </w:pPr>
    <w:r w:rsidRPr="00E95348">
      <w:rPr>
        <w:rFonts w:ascii="Times New Roman" w:eastAsia="Times New Roman" w:hAnsi="Times New Roman" w:cs="Times New Roman"/>
        <w:sz w:val="20"/>
        <w:lang w:val="pt-BR"/>
      </w:rPr>
      <w:t>SEI/MF - 0975749 - Nota</w:t>
    </w:r>
    <w:r w:rsidRPr="00E95348">
      <w:rPr>
        <w:rFonts w:ascii="Times New Roman" w:eastAsia="Times New Roman" w:hAnsi="Times New Roman" w:cs="Times New Roman"/>
        <w:sz w:val="20"/>
        <w:lang w:val="pt-BR"/>
      </w:rPr>
      <w:tab/>
      <w:t>https://sei.fazenda.gov.br/sei/controlador.php?acao=documento_impri...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44189" w14:textId="77777777" w:rsidR="00F85F9B" w:rsidRPr="00E95348" w:rsidRDefault="00000000">
    <w:pPr>
      <w:tabs>
        <w:tab w:val="right" w:pos="11039"/>
      </w:tabs>
      <w:spacing w:after="0"/>
      <w:ind w:left="-840" w:right="-838"/>
      <w:rPr>
        <w:lang w:val="pt-BR"/>
      </w:rPr>
    </w:pPr>
    <w:r w:rsidRPr="00E95348">
      <w:rPr>
        <w:rFonts w:ascii="Times New Roman" w:eastAsia="Times New Roman" w:hAnsi="Times New Roman" w:cs="Times New Roman"/>
        <w:sz w:val="20"/>
        <w:lang w:val="pt-BR"/>
      </w:rPr>
      <w:t>SEI/MF - 0975749 - Nota</w:t>
    </w:r>
    <w:r w:rsidRPr="00E95348">
      <w:rPr>
        <w:rFonts w:ascii="Times New Roman" w:eastAsia="Times New Roman" w:hAnsi="Times New Roman" w:cs="Times New Roman"/>
        <w:sz w:val="20"/>
        <w:lang w:val="pt-BR"/>
      </w:rPr>
      <w:tab/>
      <w:t>https://sei.fazenda.gov.br/sei/controlador.php?acao=documento_impri...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AD8BB" w14:textId="77777777" w:rsidR="00F85F9B" w:rsidRPr="00E95348" w:rsidRDefault="00000000">
    <w:pPr>
      <w:tabs>
        <w:tab w:val="right" w:pos="11039"/>
      </w:tabs>
      <w:spacing w:after="0"/>
      <w:ind w:left="-840" w:right="-838"/>
      <w:rPr>
        <w:lang w:val="pt-BR"/>
      </w:rPr>
    </w:pPr>
    <w:r w:rsidRPr="00E95348">
      <w:rPr>
        <w:rFonts w:ascii="Times New Roman" w:eastAsia="Times New Roman" w:hAnsi="Times New Roman" w:cs="Times New Roman"/>
        <w:sz w:val="20"/>
        <w:lang w:val="pt-BR"/>
      </w:rPr>
      <w:t>SEI/MF - 0975749 - Nota</w:t>
    </w:r>
    <w:r w:rsidRPr="00E95348">
      <w:rPr>
        <w:rFonts w:ascii="Times New Roman" w:eastAsia="Times New Roman" w:hAnsi="Times New Roman" w:cs="Times New Roman"/>
        <w:sz w:val="20"/>
        <w:lang w:val="pt-BR"/>
      </w:rPr>
      <w:tab/>
      <w:t>https://sei.fazenda.gov.br/sei/controlador.php?acao=documento_impri...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B201F"/>
    <w:multiLevelType w:val="hybridMultilevel"/>
    <w:tmpl w:val="048E3C12"/>
    <w:lvl w:ilvl="0" w:tplc="0DA60B90">
      <w:start w:val="1"/>
      <w:numFmt w:val="upperRoman"/>
      <w:lvlText w:val="%1"/>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466CCC">
      <w:start w:val="1"/>
      <w:numFmt w:val="lowerLetter"/>
      <w:lvlText w:val="%2"/>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9C8894">
      <w:start w:val="1"/>
      <w:numFmt w:val="lowerRoman"/>
      <w:lvlText w:val="%3"/>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BAD9EC">
      <w:start w:val="1"/>
      <w:numFmt w:val="decimal"/>
      <w:lvlText w:val="%4"/>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9ADAE2">
      <w:start w:val="1"/>
      <w:numFmt w:val="lowerLetter"/>
      <w:lvlText w:val="%5"/>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E2E1EE">
      <w:start w:val="1"/>
      <w:numFmt w:val="lowerRoman"/>
      <w:lvlText w:val="%6"/>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C82CA6">
      <w:start w:val="1"/>
      <w:numFmt w:val="decimal"/>
      <w:lvlText w:val="%7"/>
      <w:lvlJc w:val="left"/>
      <w:pPr>
        <w:ind w:left="6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B24BBE">
      <w:start w:val="1"/>
      <w:numFmt w:val="lowerLetter"/>
      <w:lvlText w:val="%8"/>
      <w:lvlJc w:val="left"/>
      <w:pPr>
        <w:ind w:left="76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4A4F34">
      <w:start w:val="1"/>
      <w:numFmt w:val="lowerRoman"/>
      <w:lvlText w:val="%9"/>
      <w:lvlJc w:val="left"/>
      <w:pPr>
        <w:ind w:left="83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124914"/>
    <w:multiLevelType w:val="hybridMultilevel"/>
    <w:tmpl w:val="9A6475FA"/>
    <w:lvl w:ilvl="0" w:tplc="77D466EA">
      <w:start w:val="1"/>
      <w:numFmt w:val="decimal"/>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A0D0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9621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8B8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53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A69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626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E8C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628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091E23"/>
    <w:multiLevelType w:val="hybridMultilevel"/>
    <w:tmpl w:val="DDB2B6AA"/>
    <w:lvl w:ilvl="0" w:tplc="4FA27A9A">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DA828C">
      <w:start w:val="1"/>
      <w:numFmt w:val="lowerRoman"/>
      <w:lvlText w:val="(%2)"/>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1AC10A">
      <w:start w:val="1"/>
      <w:numFmt w:val="lowerRoman"/>
      <w:lvlText w:val="%3"/>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E682CA">
      <w:start w:val="1"/>
      <w:numFmt w:val="decimal"/>
      <w:lvlText w:val="%4"/>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AE09FC">
      <w:start w:val="1"/>
      <w:numFmt w:val="lowerLetter"/>
      <w:lvlText w:val="%5"/>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86887C">
      <w:start w:val="1"/>
      <w:numFmt w:val="lowerRoman"/>
      <w:lvlText w:val="%6"/>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644EF6">
      <w:start w:val="1"/>
      <w:numFmt w:val="decimal"/>
      <w:lvlText w:val="%7"/>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2A9AF8">
      <w:start w:val="1"/>
      <w:numFmt w:val="lowerLetter"/>
      <w:lvlText w:val="%8"/>
      <w:lvlJc w:val="left"/>
      <w:pPr>
        <w:ind w:left="6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80462C">
      <w:start w:val="1"/>
      <w:numFmt w:val="lowerRoman"/>
      <w:lvlText w:val="%9"/>
      <w:lvlJc w:val="left"/>
      <w:pPr>
        <w:ind w:left="76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A455C75"/>
    <w:multiLevelType w:val="hybridMultilevel"/>
    <w:tmpl w:val="96E2ED7A"/>
    <w:lvl w:ilvl="0" w:tplc="E9EA520C">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BE47FAA">
      <w:start w:val="1"/>
      <w:numFmt w:val="decimal"/>
      <w:lvlText w:val="%2."/>
      <w:lvlJc w:val="left"/>
      <w:pPr>
        <w:ind w:left="248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926E308">
      <w:start w:val="1"/>
      <w:numFmt w:val="lowerRoman"/>
      <w:lvlText w:val="%3"/>
      <w:lvlJc w:val="left"/>
      <w:pPr>
        <w:ind w:left="33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604006C">
      <w:start w:val="1"/>
      <w:numFmt w:val="decimal"/>
      <w:lvlText w:val="%4"/>
      <w:lvlJc w:val="left"/>
      <w:pPr>
        <w:ind w:left="40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516EAE4">
      <w:start w:val="1"/>
      <w:numFmt w:val="lowerLetter"/>
      <w:lvlText w:val="%5"/>
      <w:lvlJc w:val="left"/>
      <w:pPr>
        <w:ind w:left="47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998A8AE">
      <w:start w:val="1"/>
      <w:numFmt w:val="lowerRoman"/>
      <w:lvlText w:val="%6"/>
      <w:lvlJc w:val="left"/>
      <w:pPr>
        <w:ind w:left="55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34E4168">
      <w:start w:val="1"/>
      <w:numFmt w:val="decimal"/>
      <w:lvlText w:val="%7"/>
      <w:lvlJc w:val="left"/>
      <w:pPr>
        <w:ind w:left="62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42433DA">
      <w:start w:val="1"/>
      <w:numFmt w:val="lowerLetter"/>
      <w:lvlText w:val="%8"/>
      <w:lvlJc w:val="left"/>
      <w:pPr>
        <w:ind w:left="69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4D205C6">
      <w:start w:val="1"/>
      <w:numFmt w:val="lowerRoman"/>
      <w:lvlText w:val="%9"/>
      <w:lvlJc w:val="left"/>
      <w:pPr>
        <w:ind w:left="76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A80767F"/>
    <w:multiLevelType w:val="hybridMultilevel"/>
    <w:tmpl w:val="7DA49FEE"/>
    <w:lvl w:ilvl="0" w:tplc="18AE33EC">
      <w:start w:val="1"/>
      <w:numFmt w:val="decimal"/>
      <w:lvlText w:val="[%1]"/>
      <w:lvlJc w:val="left"/>
      <w:pPr>
        <w:ind w:left="24"/>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1" w:tplc="50CE7D3E">
      <w:start w:val="1"/>
      <w:numFmt w:val="lowerLetter"/>
      <w:lvlText w:val="%2"/>
      <w:lvlJc w:val="left"/>
      <w:pPr>
        <w:ind w:left="108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2" w:tplc="28F822B6">
      <w:start w:val="1"/>
      <w:numFmt w:val="lowerRoman"/>
      <w:lvlText w:val="%3"/>
      <w:lvlJc w:val="left"/>
      <w:pPr>
        <w:ind w:left="180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3" w:tplc="26E2FC8A">
      <w:start w:val="1"/>
      <w:numFmt w:val="decimal"/>
      <w:lvlText w:val="%4"/>
      <w:lvlJc w:val="left"/>
      <w:pPr>
        <w:ind w:left="252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4" w:tplc="BC76A93E">
      <w:start w:val="1"/>
      <w:numFmt w:val="lowerLetter"/>
      <w:lvlText w:val="%5"/>
      <w:lvlJc w:val="left"/>
      <w:pPr>
        <w:ind w:left="324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5" w:tplc="321247FA">
      <w:start w:val="1"/>
      <w:numFmt w:val="lowerRoman"/>
      <w:lvlText w:val="%6"/>
      <w:lvlJc w:val="left"/>
      <w:pPr>
        <w:ind w:left="396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6" w:tplc="AB9C1BCE">
      <w:start w:val="1"/>
      <w:numFmt w:val="decimal"/>
      <w:lvlText w:val="%7"/>
      <w:lvlJc w:val="left"/>
      <w:pPr>
        <w:ind w:left="468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7" w:tplc="313C1DAE">
      <w:start w:val="1"/>
      <w:numFmt w:val="lowerLetter"/>
      <w:lvlText w:val="%8"/>
      <w:lvlJc w:val="left"/>
      <w:pPr>
        <w:ind w:left="540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8" w:tplc="FFC60D14">
      <w:start w:val="1"/>
      <w:numFmt w:val="lowerRoman"/>
      <w:lvlText w:val="%9"/>
      <w:lvlJc w:val="left"/>
      <w:pPr>
        <w:ind w:left="612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abstractNum>
  <w:abstractNum w:abstractNumId="5" w15:restartNumberingAfterBreak="0">
    <w:nsid w:val="52CD45B3"/>
    <w:multiLevelType w:val="hybridMultilevel"/>
    <w:tmpl w:val="35C88C80"/>
    <w:lvl w:ilvl="0" w:tplc="84146572">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9C27F5C">
      <w:start w:val="1"/>
      <w:numFmt w:val="decimal"/>
      <w:lvlText w:val="%2."/>
      <w:lvlJc w:val="left"/>
      <w:pPr>
        <w:ind w:left="24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1DC99B2">
      <w:start w:val="1"/>
      <w:numFmt w:val="lowerRoman"/>
      <w:lvlText w:val="%3"/>
      <w:lvlJc w:val="left"/>
      <w:pPr>
        <w:ind w:left="33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7B4CE50">
      <w:start w:val="1"/>
      <w:numFmt w:val="decimal"/>
      <w:lvlText w:val="%4"/>
      <w:lvlJc w:val="left"/>
      <w:pPr>
        <w:ind w:left="40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767AADC4">
      <w:start w:val="1"/>
      <w:numFmt w:val="lowerLetter"/>
      <w:lvlText w:val="%5"/>
      <w:lvlJc w:val="left"/>
      <w:pPr>
        <w:ind w:left="47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C7049B5A">
      <w:start w:val="1"/>
      <w:numFmt w:val="lowerRoman"/>
      <w:lvlText w:val="%6"/>
      <w:lvlJc w:val="left"/>
      <w:pPr>
        <w:ind w:left="55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4A8DDE2">
      <w:start w:val="1"/>
      <w:numFmt w:val="decimal"/>
      <w:lvlText w:val="%7"/>
      <w:lvlJc w:val="left"/>
      <w:pPr>
        <w:ind w:left="62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9A25B4A">
      <w:start w:val="1"/>
      <w:numFmt w:val="lowerLetter"/>
      <w:lvlText w:val="%8"/>
      <w:lvlJc w:val="left"/>
      <w:pPr>
        <w:ind w:left="69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9AEE3B6">
      <w:start w:val="1"/>
      <w:numFmt w:val="lowerRoman"/>
      <w:lvlText w:val="%9"/>
      <w:lvlJc w:val="left"/>
      <w:pPr>
        <w:ind w:left="76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B9E73BF"/>
    <w:multiLevelType w:val="hybridMultilevel"/>
    <w:tmpl w:val="87E6F2FA"/>
    <w:lvl w:ilvl="0" w:tplc="15C8DF68">
      <w:start w:val="16"/>
      <w:numFmt w:val="decimal"/>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A7B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4008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7AC0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2649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AE0C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7627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B862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ACF1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101391D"/>
    <w:multiLevelType w:val="hybridMultilevel"/>
    <w:tmpl w:val="8B107370"/>
    <w:lvl w:ilvl="0" w:tplc="EBD8708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2B0F2C0">
      <w:start w:val="1"/>
      <w:numFmt w:val="upperRoman"/>
      <w:lvlText w:val="%2"/>
      <w:lvlJc w:val="left"/>
      <w:pPr>
        <w:ind w:left="25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B6BEC2">
      <w:start w:val="1"/>
      <w:numFmt w:val="lowerRoman"/>
      <w:lvlText w:val="%3"/>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3E228C">
      <w:start w:val="1"/>
      <w:numFmt w:val="decimal"/>
      <w:lvlText w:val="%4"/>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563EC4">
      <w:start w:val="1"/>
      <w:numFmt w:val="lowerLetter"/>
      <w:lvlText w:val="%5"/>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506770">
      <w:start w:val="1"/>
      <w:numFmt w:val="lowerRoman"/>
      <w:lvlText w:val="%6"/>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365248">
      <w:start w:val="1"/>
      <w:numFmt w:val="decimal"/>
      <w:lvlText w:val="%7"/>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90667C">
      <w:start w:val="1"/>
      <w:numFmt w:val="lowerLetter"/>
      <w:lvlText w:val="%8"/>
      <w:lvlJc w:val="left"/>
      <w:pPr>
        <w:ind w:left="6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00C092">
      <w:start w:val="1"/>
      <w:numFmt w:val="lowerRoman"/>
      <w:lvlText w:val="%9"/>
      <w:lvlJc w:val="left"/>
      <w:pPr>
        <w:ind w:left="76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51762859">
    <w:abstractNumId w:val="1"/>
  </w:num>
  <w:num w:numId="2" w16cid:durableId="1819691703">
    <w:abstractNumId w:val="0"/>
  </w:num>
  <w:num w:numId="3" w16cid:durableId="398405625">
    <w:abstractNumId w:val="2"/>
  </w:num>
  <w:num w:numId="4" w16cid:durableId="131098913">
    <w:abstractNumId w:val="7"/>
  </w:num>
  <w:num w:numId="5" w16cid:durableId="1063259943">
    <w:abstractNumId w:val="3"/>
  </w:num>
  <w:num w:numId="6" w16cid:durableId="1431581258">
    <w:abstractNumId w:val="5"/>
  </w:num>
  <w:num w:numId="7" w16cid:durableId="1602910339">
    <w:abstractNumId w:val="6"/>
  </w:num>
  <w:num w:numId="8" w16cid:durableId="1763187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F9B"/>
    <w:rsid w:val="00613AF5"/>
    <w:rsid w:val="006E72CD"/>
    <w:rsid w:val="00E95348"/>
    <w:rsid w:val="00F85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BF5A2"/>
  <w15:docId w15:val="{C5443F8E-6873-456C-AFA3-0802A848E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2" w:line="259" w:lineRule="auto"/>
      <w:ind w:left="2278" w:hanging="10"/>
      <w:outlineLvl w:val="0"/>
    </w:pPr>
    <w:rPr>
      <w:rFonts w:ascii="Times New Roman" w:eastAsia="Times New Roman" w:hAnsi="Times New Roman" w:cs="Times New Roman"/>
      <w:b/>
      <w:color w:val="000000"/>
      <w:sz w:val="22"/>
      <w:u w:val="single" w:color="000000"/>
    </w:rPr>
  </w:style>
  <w:style w:type="paragraph" w:styleId="Heading2">
    <w:name w:val="heading 2"/>
    <w:next w:val="Normal"/>
    <w:link w:val="Heading2Char"/>
    <w:uiPriority w:val="9"/>
    <w:unhideWhenUsed/>
    <w:qFormat/>
    <w:pPr>
      <w:keepNext/>
      <w:keepLines/>
      <w:spacing w:after="252" w:line="259" w:lineRule="auto"/>
      <w:ind w:left="2268"/>
      <w:outlineLvl w:val="1"/>
    </w:pPr>
    <w:rPr>
      <w:rFonts w:ascii="Times New Roman" w:eastAsia="Times New Roman" w:hAnsi="Times New Roman" w:cs="Times New Roman"/>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u w:val="single" w:color="000000"/>
    </w:rPr>
  </w:style>
  <w:style w:type="character" w:customStyle="1" w:styleId="Heading2Char">
    <w:name w:val="Heading 2 Char"/>
    <w:link w:val="Heading2"/>
    <w:rPr>
      <w:rFonts w:ascii="Times New Roman" w:eastAsia="Times New Roman" w:hAnsi="Times New Roman" w:cs="Times New Roman"/>
      <w:b/>
      <w: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10.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2659</Words>
  <Characters>15162</Characters>
  <Application>Microsoft Office Word</Application>
  <DocSecurity>0</DocSecurity>
  <Lines>126</Lines>
  <Paragraphs>35</Paragraphs>
  <ScaleCrop>false</ScaleCrop>
  <Company/>
  <LinksUpToDate>false</LinksUpToDate>
  <CharactersWithSpaces>17786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cp:lastModifiedBy>Eduardo Seiti De Oliveira</cp:lastModifiedBy>
  <cp:revision>2</cp:revision>
  <dcterms:created xsi:type="dcterms:W3CDTF">2026-07-30T19:17:00Z</dcterms:created>
  <dcterms:modified xsi:type="dcterms:W3CDTF">2026-07-30T19:17:00Z</dcterms:modified>
</cp:coreProperties>
</file>