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CE4D6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>Parecer Normativo CST nº 44 de 30/06/1976</w:t>
      </w:r>
    </w:p>
    <w:p w14:paraId="1F43D5C3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>Norma Federal - Publicado no DO em 02 set 1976</w:t>
      </w:r>
    </w:p>
    <w:p w14:paraId="4C24D9C6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>A utilização de um mesmo imóvel por dois ou mais profissionais, para o exercício individual de suas atividades, não caracteriza pessoa jurídica, ainda que o estabelecimento tenha nome para efeito promocional, e que os profissionais possuam, em comum, os mesmos auxiliares.</w:t>
      </w:r>
    </w:p>
    <w:p w14:paraId="3CC35CA4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>Imposto Sobre a Renda e Proventos</w:t>
      </w:r>
      <w:r w:rsidRPr="006E6E39">
        <w:rPr>
          <w:lang w:val="pt-BR"/>
        </w:rPr>
        <w:br/>
        <w:t>MNTPF 1.24.20.15 - Rendimentos do Trabalho Classificáveis na Cédula D</w:t>
      </w:r>
    </w:p>
    <w:p w14:paraId="53C27777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>1. Esta Coordenação, através do Parecer Normativo CST nº 36, de 24 de março de 1975, publicado no DOU de 08.05.1975, já se pronunciou sobre a classificação dos rendimentos auferidos por profissionais liberais que exercem sua atividade individualmente e empregando auxiliares. Há dúvida, todavia, sobre se perdem, ou não, a condição de pessoa física, na hipótese em que usem um mesmo imóvel e adotem uma sigla ou nome para identificar o estabelecimento.</w:t>
      </w:r>
    </w:p>
    <w:p w14:paraId="22B39AF6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 xml:space="preserve">2. Profissionais que se estabelecem no mesmo prédio e que, sem organizarem sociedade, concordam em ser designados por uma denominação única, para fins promocionais ou de identificação, mantendo </w:t>
      </w:r>
      <w:proofErr w:type="gramStart"/>
      <w:r w:rsidRPr="006E6E39">
        <w:rPr>
          <w:lang w:val="pt-BR"/>
        </w:rPr>
        <w:t>cada um clientes próprios</w:t>
      </w:r>
      <w:proofErr w:type="gramEnd"/>
      <w:r w:rsidRPr="006E6E39">
        <w:rPr>
          <w:lang w:val="pt-BR"/>
        </w:rPr>
        <w:t xml:space="preserve"> e tendo receita independente, devem ser tratados autonomamente perante o imposto de renda.</w:t>
      </w:r>
    </w:p>
    <w:p w14:paraId="5F4C9B7E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>3. Em conseqüência não serão equiparados à pessoa jurídica, desde que possuam clientes próprios e disponham livremente das receitas auferidas com seu trabalho individual.</w:t>
      </w:r>
    </w:p>
    <w:p w14:paraId="18F61F98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>4. Igual entendimento prevalece para o caso em que esses profissionais repartem entre si as despesas comuns com auxiliares, aluguel, telefone, luz e outras semelhantes, pois o que pesa na caracterização é a independência de receitas.</w:t>
      </w:r>
    </w:p>
    <w:p w14:paraId="3526D67F" w14:textId="77777777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rPr>
          <w:lang w:val="pt-BR"/>
        </w:rPr>
        <w:t>5. Esclareça-se, por oportuno, que se deve observar quanto à escrituração, o disposto no art. 43 do Regulamento do Imposto de Renda, aprovado pelo </w:t>
      </w:r>
      <w:hyperlink r:id="rId4" w:history="1">
        <w:r w:rsidRPr="006E6E39">
          <w:rPr>
            <w:rStyle w:val="Hyperlink"/>
            <w:lang w:val="pt-BR"/>
          </w:rPr>
          <w:t>Decreto nº 76.186 de 02 setembro de 1975</w:t>
        </w:r>
      </w:hyperlink>
      <w:r w:rsidRPr="006E6E39">
        <w:rPr>
          <w:lang w:val="pt-BR"/>
        </w:rPr>
        <w:t>.</w:t>
      </w:r>
    </w:p>
    <w:p w14:paraId="65895AD0" w14:textId="391A062F" w:rsidR="006E6E39" w:rsidRPr="006E6E39" w:rsidRDefault="006E6E39" w:rsidP="006E6E39">
      <w:pPr>
        <w:spacing w:line="240" w:lineRule="auto"/>
        <w:rPr>
          <w:lang w:val="pt-BR"/>
        </w:rPr>
      </w:pPr>
      <w:r w:rsidRPr="006E6E39">
        <w:t>À consideração superior.</w:t>
      </w:r>
    </w:p>
    <w:sectPr w:rsidR="006E6E39" w:rsidRPr="006E6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39"/>
    <w:rsid w:val="005F3282"/>
    <w:rsid w:val="006E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2AA51"/>
  <w15:chartTrackingRefBased/>
  <w15:docId w15:val="{A4D6284C-F3AB-4637-8831-0BEDC27D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rmasbrasil.com.br/norma/decreto-76186-1975_3222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2026-07-30T13:50:00Z</dcterms:created>
  <dcterms:modified xsi:type="dcterms:W3CDTF">2026-07-30T13:51:00Z</dcterms:modified>
</cp:coreProperties>
</file>