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1, de 27 de março de 2009</w:t>
      </w:r>
    </w:p>
    <w:p>
      <w:r>
        <w:rPr>
          <w:i/>
        </w:rPr>
        <w:t>[Revogado(a) pelo(a) Ato Declaratório PGFN nº 2, de 10 de março de 2016]</w:t>
      </w:r>
    </w:p>
    <w:p>
      <w:r>
        <w:t>"Autoriza a dispensa de interposição de recursos e a desistência dos já interpostos, desde que inexista outro fundamento relevante, nas ações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287/2009, desta Procuradoria-Geral da Fazenda Nacional, pelo Senhor Ministro de Estado da Fazenda, conforme despacho publicado no DOU de 13/05/2009, DECLARA que fica autorizada a dispensa de interposição de recursos e a desistência dos já interpostos, desde que inexista outro fundamento relevante:</w:t>
      </w:r>
    </w:p>
    <w:p>
      <w:r>
        <w:t>"nas ações judiciais que visem obter a declaração de que, no cálculo do imposto renda incidente sobre rendimentos pagos acumuladamente, devem ser levadas em consideração as tabelas e alíquotas das épocas próprias a que se referem tais rendimentos, devendo o cálculo ser mensal e não global.".</w:t>
      </w:r>
    </w:p>
    <w:p>
      <w:r>
        <w:t>JURISPRUDÊNCIA: Resp 424225/SC (DJ 19/12/2003); Resp 505081/RS (DJ 31/05/2004); Resp 1075700/RS (DJ 17/12/2008); AgRg no REsp 641.531/SC (DJ 21/11/2008); Resp 901.945/PR (DJ 16/08/2007).</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1, de 27 de março de 2009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