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RFB nº 1558, de 31 de março de 2015</w:t>
      </w:r>
    </w:p>
    <w:p>
      <w:r>
        <w:t>Altera a Instrução Normativa RFB nº 1.500, de 29 de outubro de 2014, que dispõe sobre normas gerais de tributação relativas ao Imposto sobre a Renda das Pessoas Físicas.</w:t>
      </w:r>
    </w:p>
    <w:p>
      <w:r>
        <w:t>O SECRETÁRIO DA RECEITA FEDERAL DO BRASIL, no uso das atribuições que lhe conferem os incisos III e XXVI do art. 280 do Regimento Interno da Secretaria da Receita Federal do Brasil, aprovado pela Portaria MF nº 203, de 14 de maio de 2012, e tendo em vista o disposto nos arts. 84 e 85 da Lei nº 13.043, de 13 de novembro de 2014, no art. 2º da Lei nº 13.097, de 19 de janeiro de 2015, e na Medida Provisória nº 670, de 10 de março de 2015, resolve:</w:t>
      </w:r>
    </w:p>
    <w:p>
      <w:r>
        <w:t>Art. 1º Os arts. 7º, 19, 22, 36 e o título que o antecede, 43, 44, 52, 62, 72, 80, 86 e 87 da Instrução Normativa RFB nº 1.500, de 29 de outubro de 2014, passam a vigorar com a seguinte redação:</w:t>
      </w:r>
    </w:p>
    <w:p>
      <w:r>
        <w:t>“Art. 7º São isentos ou não se sujeitam ao imposto sobre a renda, os seguintes rendimentos decorrentes de indenizações e assemelhados:</w:t>
      </w:r>
    </w:p>
    <w:p>
      <w:r>
        <w:t>........................................................................................” (NR)</w:t>
      </w:r>
    </w:p>
    <w:p>
      <w:r>
        <w:t>“Art. 19. ..................................................................................</w:t>
      </w:r>
    </w:p>
    <w:p>
      <w:r>
        <w:t>...................................................................................................</w:t>
      </w:r>
    </w:p>
    <w:p>
      <w:r>
        <w:t>XVI - rendimentos recebidos no Brasil por não residentes, exceto os ganhos a que se referem os incisos I, VI, VII e VIII do caput do art. 21;</w:t>
      </w:r>
    </w:p>
    <w:p>
      <w:r>
        <w:t>........................................................................................” (NR)</w:t>
      </w:r>
    </w:p>
    <w:p>
      <w:r>
        <w:t>“Art. 22. ..............................................................................</w:t>
      </w:r>
    </w:p>
    <w:p>
      <w:r>
        <w:t>...................................................................................................</w:t>
      </w:r>
    </w:p>
    <w:p>
      <w:r>
        <w:t>XI - salário-educação;</w:t>
      </w:r>
    </w:p>
    <w:p>
      <w:r>
        <w:t>........................................................................................” (NR)</w:t>
      </w:r>
    </w:p>
    <w:p>
      <w:r>
        <w:t xml:space="preserve">“Subseção I </w:t>
      </w:r>
      <w:r>
        <w:br/>
      </w:r>
      <w:r>
        <w:t>Dos RRA Submetidos à Incidência do Imposto sobre a Renda com Base na Tabela Progressiva Correspondentes a Anos-calendário Anteriores ao do Recebimento” (NR)</w:t>
      </w:r>
    </w:p>
    <w:p>
      <w:r>
        <w:t>“Art. 36. Os RRA, a partir de 11 de março de 2015, submetidos à incidência do imposto sobre a renda com base na tabela progressiva, quando correspondentes a anos-calendário anteriores ao do recebimento, serão tributados exclusivamente na fonte, no mês do recebimento ou crédito, em separado dos demais rendimentos recebidos no mês.</w:t>
      </w:r>
    </w:p>
    <w:p>
      <w:r>
        <w:t>...................................................................................................</w:t>
      </w:r>
    </w:p>
    <w:p>
      <w:r>
        <w:t>§ 3º O disposto no caput aplica-se desde 28 de julho de 2010 aos rendimentos decorrentes:</w:t>
      </w:r>
    </w:p>
    <w:p>
      <w:r>
        <w:t>I - de aposentadoria, pensão, transferência para a reserva remunerada ou reforma, pagos pela Previdência Social da União, dos estados, do Distrito Federal e dos municípios; e</w:t>
      </w:r>
    </w:p>
    <w:p>
      <w:r>
        <w:t>II - do trabalho.” (NR)</w:t>
      </w:r>
    </w:p>
    <w:p>
      <w:r>
        <w:t>“Art. 43. Os RRA que não decorram do previsto no art. 36 estarão sujeitos:</w:t>
      </w:r>
    </w:p>
    <w:p>
      <w:r>
        <w:t>I -</w:t>
      </w:r>
    </w:p>
    <w:p>
      <w:r>
        <w:t>..............................................................................................</w:t>
      </w:r>
    </w:p>
    <w:p>
      <w:r>
        <w:t>a) da Justiça Federal, mediante precatório ou requisição de pequeno valor, ao disposto no art. 25; e</w:t>
      </w:r>
    </w:p>
    <w:p>
      <w:r>
        <w:t>b) da Justiça do Trabalho, ao disposto no art. 26; e</w:t>
      </w:r>
    </w:p>
    <w:p>
      <w:r>
        <w:t>........................................................................................” (NR)</w:t>
      </w:r>
    </w:p>
    <w:p>
      <w:r>
        <w:t>“Art. 44. Os RRA relativos ao ano-calendário de recebimento estarão sujeitos à regra de que trata o art. 12-B da Lei nº 7.713, de 22 de dezembro de 1988.</w:t>
      </w:r>
    </w:p>
    <w:p>
      <w:r>
        <w:t>Parágrafo único. Caso os RRA sejam pagos em cumprimento de decisão judicial:</w:t>
      </w:r>
    </w:p>
    <w:p>
      <w:r>
        <w:t>I – da Justiça Federal, mediante precatório ou requisição de pequeno valor, aplica-se o disposto no art. 25; e</w:t>
      </w:r>
    </w:p>
    <w:p>
      <w:r>
        <w:t>II – da Justiça do Trabalho, aplica-se o disposto no art. 26.” (NR)</w:t>
      </w:r>
    </w:p>
    <w:p>
      <w:r>
        <w:t>“Art. 52. ...................................................................................</w:t>
      </w:r>
    </w:p>
    <w:p>
      <w:r>
        <w:t>...................................................................................................</w:t>
      </w:r>
    </w:p>
    <w:p>
      <w:r>
        <w:t>V - as contribuições para as entidades de previdência complementar de natureza pública de que trata o § 15 do art. 40 da Constituição Federal, cujo ônus tenha sido do contribuinte, destinadas a custear benefícios complementares assemelhados aos da Previdência Social; e</w:t>
      </w:r>
    </w:p>
    <w:p>
      <w:r>
        <w:t>........................................................................................” (NR)</w:t>
      </w:r>
    </w:p>
    <w:p>
      <w:r>
        <w:t>“Art. 62. ..................................................................................</w:t>
      </w:r>
    </w:p>
    <w:p>
      <w:r>
        <w:t>...................................................................................................</w:t>
      </w:r>
    </w:p>
    <w:p>
      <w:r>
        <w:t>XIV - verbas recebidas a título de auxílio-creche e auxílio pré-escolar pelos trabalhadores até o limite de 5 (cinco) anos de idade de seus filhos (Parecer PGFN/CRJ/Nº 2.118, de 10 de novembro de 2011, aprovado por Despacho do Ministro de Estado da Fazenda publicado no Diário Oficial da União de 15 de dezembro de 2011, e Ato Declaratório PGFN nº 13, de 20 de dezembro de 2011);</w:t>
      </w:r>
    </w:p>
    <w:p>
      <w:r>
        <w:t>XV - verbas recebidas a título de reembolso-babá (Ato Declaratório PGFN nº 1, de 2 de janeiro de 2014).</w:t>
      </w:r>
    </w:p>
    <w:p>
      <w:r>
        <w:t>........................................................................................” (NR)</w:t>
      </w:r>
    </w:p>
    <w:p>
      <w:r>
        <w:t>“Art. 72. ..................................................................................</w:t>
      </w:r>
    </w:p>
    <w:p>
      <w:r>
        <w:t>...................................................................................................</w:t>
      </w:r>
    </w:p>
    <w:p>
      <w:r>
        <w:t>§ 1º As deduções a que se referem os incisos IV e V do caput do art. 52 ficam limitadas a 12% (doze por cento) do total de rendimentos computados na determinação da base de cálculo do imposto devido na declaração de rendimentos, observado o disposto no art. 87.</w:t>
      </w:r>
    </w:p>
    <w:p>
      <w:r>
        <w:t>........................................................................................” (NR)</w:t>
      </w:r>
    </w:p>
    <w:p>
      <w:r>
        <w:t>“Art. 80. ...................................................................................</w:t>
      </w:r>
    </w:p>
    <w:p>
      <w:r>
        <w:t>...................................................................................................</w:t>
      </w:r>
    </w:p>
    <w:p>
      <w:r>
        <w:t>VI - a contribuição patronal paga à Previdência Social pelo empregador doméstico incidente sobre o valor da remuneração do empregado, até o exercício de 2019, ano-calendário de 2018;</w:t>
      </w:r>
    </w:p>
    <w:p>
      <w:r>
        <w:t>...................................................................................................</w:t>
      </w:r>
    </w:p>
    <w:p>
      <w:r>
        <w:t>§ 4º A dedução de que trata o inciso VI do caput está limitada ao valor do imposto apurado na DAA, deduzidos os valores de que tratam os incisos I a V, VII e VIII do caput.</w:t>
      </w:r>
    </w:p>
    <w:p>
      <w:r>
        <w:t>........................................................................................” (NR)</w:t>
      </w:r>
    </w:p>
    <w:p>
      <w:r>
        <w:t>“Art. 86. ..................................................................................</w:t>
      </w:r>
    </w:p>
    <w:p>
      <w:r>
        <w:t>...................................................................................................</w:t>
      </w:r>
    </w:p>
    <w:p>
      <w:r>
        <w:t>III - para as entidades de previdência complementar de natureza pública de que trata o § 15 do art. 40 da Constituição Federal, cujo ônus tenha sido do contribuinte, destinadas a custear benefícios complementares assemelhados aos da Previdência Social.</w:t>
      </w:r>
    </w:p>
    <w:p>
      <w:r>
        <w:t>........................................................................................” (NR)</w:t>
      </w:r>
    </w:p>
    <w:p>
      <w:r>
        <w:t>“Art. 87. As contribuições de que tratam os incisos II e III do caput do art. 86 ficam condicionadas ao recolhimento, também, de contribuições para o regime geral de previdência social ou, quando for o caso, para o regime próprio de previdência social dos servidores titulares de cargo efetivo da União, dos estados, do Distrito Federal ou dos municípios, observada a contribuição mínima, e limitadas a 12% (doze por cento) do total dos rendimentos computados na determinação da base de cálculo do imposto devido na DAA.</w:t>
      </w:r>
    </w:p>
    <w:p>
      <w:r>
        <w:t>§ 1º Excetuam-se da condição de que trata o caput os beneficiários de aposentadoria ou pensão concedidas por regime próprio de previdência ou pelo regime geral de previdência social, mantido, entretanto, o limite de 12% (doze por cento) do total dos rendimentos computados na determinação da base de cálculo do imposto devido na DAA.</w:t>
      </w:r>
    </w:p>
    <w:p>
      <w:r>
        <w:t>§ 2º A dedução a que se refere o inciso III do art. 86, desde que limitada à alíquota de contribuição do ente público patrocinador, não se sujeita ao limite previsto no caput.</w:t>
      </w:r>
    </w:p>
    <w:p>
      <w:r>
        <w:t>§ 3º Os valores de contribuição excedentes ao disposto no § 2º poderão ser deduzidos desde que seja observado o limite conjunto de dedução previsto no caput.” (NR)</w:t>
      </w:r>
    </w:p>
    <w:p>
      <w:r>
        <w:t>Art. 2º O Anexo I da Instrução Normativa RFB nº 1.500, de 2014, passa a vigorar com a seguinte redação:</w:t>
      </w:r>
    </w:p>
    <w:p>
      <w:r>
        <w:t>“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Ano-calendário</w:t>
            </w:r>
            <w:r/>
          </w:p>
        </w:tc>
        <w:tc>
          <w:tcPr>
            <w:tcW w:type="dxa" w:w="4320"/>
          </w:tcPr>
          <w:p>
            <w:r>
              <w:t>Valores isentos mensais (em R$)</w:t>
            </w:r>
            <w:r/>
          </w:p>
        </w:tc>
      </w:tr>
      <w:tr>
        <w:tc>
          <w:tcPr>
            <w:tcW w:type="dxa" w:w="4320"/>
          </w:tcPr>
          <w:p>
            <w:r>
              <w:t>2010</w:t>
            </w:r>
            <w:r/>
          </w:p>
        </w:tc>
        <w:tc>
          <w:tcPr>
            <w:tcW w:type="dxa" w:w="4320"/>
          </w:tcPr>
          <w:p>
            <w:r>
              <w:t>até 1.499,15</w:t>
            </w:r>
            <w:r/>
          </w:p>
        </w:tc>
      </w:tr>
      <w:tr>
        <w:tc>
          <w:tcPr>
            <w:tcW w:type="dxa" w:w="4320"/>
          </w:tcPr>
          <w:p>
            <w:r>
              <w:t>2011, até o mês de março</w:t>
            </w:r>
            <w:r/>
          </w:p>
        </w:tc>
        <w:tc>
          <w:tcPr>
            <w:tcW w:type="dxa" w:w="4320"/>
          </w:tcPr>
          <w:p>
            <w:r>
              <w:t>até 1.499,15</w:t>
            </w:r>
            <w:r/>
          </w:p>
        </w:tc>
      </w:tr>
      <w:tr>
        <w:tc>
          <w:tcPr>
            <w:tcW w:type="dxa" w:w="4320"/>
          </w:tcPr>
          <w:p>
            <w:r>
              <w:t>2011, a partir do mês de abril</w:t>
            </w:r>
            <w:r/>
          </w:p>
        </w:tc>
        <w:tc>
          <w:tcPr>
            <w:tcW w:type="dxa" w:w="4320"/>
          </w:tcPr>
          <w:p>
            <w:r>
              <w:t>até 1.566,61</w:t>
            </w:r>
            <w:r/>
          </w:p>
        </w:tc>
      </w:tr>
      <w:tr>
        <w:tc>
          <w:tcPr>
            <w:tcW w:type="dxa" w:w="4320"/>
          </w:tcPr>
          <w:p>
            <w:r>
              <w:t>2012</w:t>
            </w:r>
            <w:r/>
          </w:p>
        </w:tc>
        <w:tc>
          <w:tcPr>
            <w:tcW w:type="dxa" w:w="4320"/>
          </w:tcPr>
          <w:p>
            <w:r>
              <w:t>até 1.637,11</w:t>
            </w:r>
            <w:r/>
          </w:p>
        </w:tc>
      </w:tr>
      <w:tr>
        <w:tc>
          <w:tcPr>
            <w:tcW w:type="dxa" w:w="4320"/>
          </w:tcPr>
          <w:p>
            <w:r>
              <w:t>2013</w:t>
            </w:r>
            <w:r/>
          </w:p>
        </w:tc>
        <w:tc>
          <w:tcPr>
            <w:tcW w:type="dxa" w:w="4320"/>
          </w:tcPr>
          <w:p>
            <w:r>
              <w:t>até 1.710,78</w:t>
            </w:r>
            <w:r/>
          </w:p>
        </w:tc>
      </w:tr>
      <w:tr>
        <w:tc>
          <w:tcPr>
            <w:tcW w:type="dxa" w:w="4320"/>
          </w:tcPr>
          <w:p>
            <w:r>
              <w:t>2014</w:t>
            </w:r>
            <w:r/>
          </w:p>
        </w:tc>
        <w:tc>
          <w:tcPr>
            <w:tcW w:type="dxa" w:w="4320"/>
          </w:tcPr>
          <w:p>
            <w:r>
              <w:t>até 1.787,77</w:t>
            </w:r>
            <w:r/>
          </w:p>
        </w:tc>
      </w:tr>
      <w:tr>
        <w:tc>
          <w:tcPr>
            <w:tcW w:type="dxa" w:w="4320"/>
          </w:tcPr>
          <w:p>
            <w:r>
              <w:t>2015, até o mês de março</w:t>
            </w:r>
            <w:r/>
          </w:p>
        </w:tc>
        <w:tc>
          <w:tcPr>
            <w:tcW w:type="dxa" w:w="4320"/>
          </w:tcPr>
          <w:p>
            <w:r>
              <w:t>até 1.787,77</w:t>
            </w:r>
            <w:r/>
          </w:p>
        </w:tc>
      </w:tr>
      <w:tr>
        <w:tc>
          <w:tcPr>
            <w:tcW w:type="dxa" w:w="4320"/>
          </w:tcPr>
          <w:p>
            <w:r>
              <w:t>A partir do mês de abril do ano-calendário de 2015</w:t>
            </w:r>
            <w:r/>
          </w:p>
        </w:tc>
        <w:tc>
          <w:tcPr>
            <w:tcW w:type="dxa" w:w="4320"/>
          </w:tcPr>
          <w:p>
            <w:r>
              <w:t>até 1.903,98</w:t>
            </w:r>
            <w:r/>
          </w:p>
        </w:tc>
      </w:tr>
    </w:tbl>
    <w:p>
      <w:r>
        <w:t>” (NR)</w:t>
      </w:r>
    </w:p>
    <w:p>
      <w:r>
        <w:t>Art. 3º O item V do Anexo II da Instrução Normativa RFB nº 1.500, de 2014, passa a vigorar com a seguinte redação:</w:t>
      </w:r>
    </w:p>
    <w:p>
      <w:r>
        <w:t>“V - para o ano-calendário de 2014:</w:t>
      </w:r>
    </w:p>
    <w:p>
      <w:r>
        <w:t>........................................................................................” (NR)</w:t>
      </w:r>
    </w:p>
    <w:p>
      <w:r>
        <w:t>Art. 4º O Anexo II da Instrução Normativa RFB nº 1.500, de 2014, passa a vigorar acrescido dos itens VI e VII:</w:t>
      </w:r>
    </w:p>
    <w:p>
      <w:r>
        <w:t>“VI - para o ano-calendário de 2015, até o mês de março: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 de Cálculo (R$)</w:t>
            </w:r>
            <w:r/>
          </w:p>
        </w:tc>
        <w:tc>
          <w:tcPr>
            <w:tcW w:type="dxa" w:w="2880"/>
          </w:tcPr>
          <w:p>
            <w:r>
              <w:t>Alíquota (%)</w:t>
            </w:r>
            <w:r/>
          </w:p>
        </w:tc>
        <w:tc>
          <w:tcPr>
            <w:tcW w:type="dxa" w:w="2880"/>
          </w:tcPr>
          <w:p>
            <w:r>
              <w:t>Parcela a deduzir do IR (em R$)</w:t>
            </w:r>
            <w:r/>
          </w:p>
        </w:tc>
      </w:tr>
      <w:tr>
        <w:tc>
          <w:tcPr>
            <w:tcW w:type="dxa" w:w="2880"/>
          </w:tcPr>
          <w:p>
            <w:r>
              <w:t>Até 1.787,77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</w:tr>
      <w:tr>
        <w:tc>
          <w:tcPr>
            <w:tcW w:type="dxa" w:w="2880"/>
          </w:tcPr>
          <w:p>
            <w:r>
              <w:t>De 1.787,78 até 2.679,29</w:t>
            </w:r>
            <w:r/>
          </w:p>
        </w:tc>
        <w:tc>
          <w:tcPr>
            <w:tcW w:type="dxa" w:w="2880"/>
          </w:tcPr>
          <w:p>
            <w:r>
              <w:t>7,5</w:t>
            </w:r>
            <w:r/>
          </w:p>
        </w:tc>
        <w:tc>
          <w:tcPr>
            <w:tcW w:type="dxa" w:w="2880"/>
          </w:tcPr>
          <w:p>
            <w:r>
              <w:t>134,08</w:t>
            </w:r>
            <w:r/>
          </w:p>
        </w:tc>
      </w:tr>
      <w:tr>
        <w:tc>
          <w:tcPr>
            <w:tcW w:type="dxa" w:w="2880"/>
          </w:tcPr>
          <w:p>
            <w:r>
              <w:t>De 2.679,30 até 3.572,43</w:t>
            </w:r>
            <w:r/>
          </w:p>
        </w:tc>
        <w:tc>
          <w:tcPr>
            <w:tcW w:type="dxa" w:w="2880"/>
          </w:tcPr>
          <w:p>
            <w:r>
              <w:t>15</w:t>
            </w:r>
            <w:r/>
          </w:p>
        </w:tc>
        <w:tc>
          <w:tcPr>
            <w:tcW w:type="dxa" w:w="2880"/>
          </w:tcPr>
          <w:p>
            <w:r>
              <w:t>335,03</w:t>
            </w:r>
            <w:r/>
          </w:p>
        </w:tc>
      </w:tr>
      <w:tr>
        <w:tc>
          <w:tcPr>
            <w:tcW w:type="dxa" w:w="2880"/>
          </w:tcPr>
          <w:p>
            <w:r>
              <w:t>De 3.572,44 até 4.463,81</w:t>
            </w:r>
            <w:r/>
          </w:p>
        </w:tc>
        <w:tc>
          <w:tcPr>
            <w:tcW w:type="dxa" w:w="2880"/>
          </w:tcPr>
          <w:p>
            <w:r>
              <w:t>22,5</w:t>
            </w:r>
            <w:r/>
          </w:p>
        </w:tc>
        <w:tc>
          <w:tcPr>
            <w:tcW w:type="dxa" w:w="2880"/>
          </w:tcPr>
          <w:p>
            <w:r>
              <w:t>602,96</w:t>
            </w:r>
            <w:r/>
          </w:p>
        </w:tc>
      </w:tr>
      <w:tr>
        <w:tc>
          <w:tcPr>
            <w:tcW w:type="dxa" w:w="2880"/>
          </w:tcPr>
          <w:p>
            <w:r>
              <w:t>Acima de 4.463,81</w:t>
            </w:r>
            <w:r/>
          </w:p>
        </w:tc>
        <w:tc>
          <w:tcPr>
            <w:tcW w:type="dxa" w:w="2880"/>
          </w:tcPr>
          <w:p>
            <w:r>
              <w:t>27,5</w:t>
            </w:r>
            <w:r/>
          </w:p>
        </w:tc>
        <w:tc>
          <w:tcPr>
            <w:tcW w:type="dxa" w:w="2880"/>
          </w:tcPr>
          <w:p>
            <w:r>
              <w:t>826,15</w:t>
            </w:r>
            <w:r/>
          </w:p>
        </w:tc>
      </w:tr>
    </w:tbl>
    <w:p>
      <w:r>
        <w:t>VII - a partir do mês de abril do ano-calendário de 2015: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 de Cálculo (R$)</w:t>
            </w:r>
            <w:r/>
          </w:p>
        </w:tc>
        <w:tc>
          <w:tcPr>
            <w:tcW w:type="dxa" w:w="2880"/>
          </w:tcPr>
          <w:p>
            <w:r>
              <w:t>Alíquota (%)</w:t>
            </w:r>
            <w:r/>
          </w:p>
        </w:tc>
        <w:tc>
          <w:tcPr>
            <w:tcW w:type="dxa" w:w="2880"/>
          </w:tcPr>
          <w:p>
            <w:r>
              <w:t>Parcela a deduzir do IR (em R$)</w:t>
            </w:r>
            <w:r/>
          </w:p>
        </w:tc>
      </w:tr>
      <w:tr>
        <w:tc>
          <w:tcPr>
            <w:tcW w:type="dxa" w:w="2880"/>
          </w:tcPr>
          <w:p>
            <w:r>
              <w:t>Até 1.903,98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</w:tr>
      <w:tr>
        <w:tc>
          <w:tcPr>
            <w:tcW w:type="dxa" w:w="2880"/>
          </w:tcPr>
          <w:p>
            <w:r>
              <w:t>De 1.903,99 até 2.826,65</w:t>
            </w:r>
            <w:r/>
          </w:p>
        </w:tc>
        <w:tc>
          <w:tcPr>
            <w:tcW w:type="dxa" w:w="2880"/>
          </w:tcPr>
          <w:p>
            <w:r>
              <w:t>7,5</w:t>
            </w:r>
            <w:r/>
          </w:p>
        </w:tc>
        <w:tc>
          <w:tcPr>
            <w:tcW w:type="dxa" w:w="2880"/>
          </w:tcPr>
          <w:p>
            <w:r>
              <w:t>142,80</w:t>
            </w:r>
            <w:r/>
          </w:p>
        </w:tc>
      </w:tr>
      <w:tr>
        <w:tc>
          <w:tcPr>
            <w:tcW w:type="dxa" w:w="2880"/>
          </w:tcPr>
          <w:p>
            <w:r>
              <w:t>De 2.826,66 até 3.751,05</w:t>
            </w:r>
            <w:r/>
          </w:p>
        </w:tc>
        <w:tc>
          <w:tcPr>
            <w:tcW w:type="dxa" w:w="2880"/>
          </w:tcPr>
          <w:p>
            <w:r>
              <w:t>15</w:t>
            </w:r>
            <w:r/>
          </w:p>
        </w:tc>
        <w:tc>
          <w:tcPr>
            <w:tcW w:type="dxa" w:w="2880"/>
          </w:tcPr>
          <w:p>
            <w:r>
              <w:t>354,80</w:t>
            </w:r>
            <w:r/>
          </w:p>
        </w:tc>
      </w:tr>
      <w:tr>
        <w:tc>
          <w:tcPr>
            <w:tcW w:type="dxa" w:w="2880"/>
          </w:tcPr>
          <w:p>
            <w:r>
              <w:t>De 3.751,06 até 4.664,68</w:t>
            </w:r>
            <w:r/>
          </w:p>
        </w:tc>
        <w:tc>
          <w:tcPr>
            <w:tcW w:type="dxa" w:w="2880"/>
          </w:tcPr>
          <w:p>
            <w:r>
              <w:t>22,5</w:t>
            </w:r>
            <w:r/>
          </w:p>
        </w:tc>
        <w:tc>
          <w:tcPr>
            <w:tcW w:type="dxa" w:w="2880"/>
          </w:tcPr>
          <w:p>
            <w:r>
              <w:t>636,13</w:t>
            </w:r>
            <w:r/>
          </w:p>
        </w:tc>
      </w:tr>
      <w:tr>
        <w:tc>
          <w:tcPr>
            <w:tcW w:type="dxa" w:w="2880"/>
          </w:tcPr>
          <w:p>
            <w:r>
              <w:t>Acima de 4.664,68</w:t>
            </w:r>
            <w:r/>
          </w:p>
        </w:tc>
        <w:tc>
          <w:tcPr>
            <w:tcW w:type="dxa" w:w="2880"/>
          </w:tcPr>
          <w:p>
            <w:r>
              <w:t>27,5</w:t>
            </w:r>
            <w:r/>
          </w:p>
        </w:tc>
        <w:tc>
          <w:tcPr>
            <w:tcW w:type="dxa" w:w="2880"/>
          </w:tcPr>
          <w:p>
            <w:r>
              <w:t>869,36</w:t>
            </w:r>
            <w:r/>
          </w:p>
        </w:tc>
      </w:tr>
    </w:tbl>
    <w:p>
      <w:r>
        <w:t>"</w:t>
      </w:r>
    </w:p>
    <w:p>
      <w:r>
        <w:t>Art. 5º O item II do Anexo III da Instrução Normativa RFB nº 1.500, de 2014, passa a vigorar com a seguinte redação:</w:t>
      </w:r>
    </w:p>
    <w:p>
      <w:r>
        <w:t>“II - para o ano-calendário de 2014:</w:t>
      </w:r>
    </w:p>
    <w:p>
      <w:r>
        <w:t>........................................................................................” (NR)</w:t>
      </w:r>
    </w:p>
    <w:p>
      <w:r>
        <w:t>Art. 6º O Anexo III da Instrução Normativa RFB nº 1.500, de 2014, passa a vigorar acrescido dos itens III e IV:</w:t>
      </w:r>
    </w:p>
    <w:p>
      <w:r>
        <w:t>“III - para o ano-calendário de 2015, até o mês de março: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Valor do PLR anual (em R$)</w:t>
            </w:r>
            <w:r/>
          </w:p>
        </w:tc>
        <w:tc>
          <w:tcPr>
            <w:tcW w:type="dxa" w:w="2880"/>
          </w:tcPr>
          <w:p>
            <w:r>
              <w:t>Alíquota</w:t>
            </w:r>
            <w:r/>
          </w:p>
        </w:tc>
        <w:tc>
          <w:tcPr>
            <w:tcW w:type="dxa" w:w="2880"/>
          </w:tcPr>
          <w:p>
            <w:r>
              <w:t>Parcela a deduzir do imposto (em R$)</w:t>
            </w:r>
            <w:r/>
          </w:p>
        </w:tc>
      </w:tr>
      <w:tr>
        <w:tc>
          <w:tcPr>
            <w:tcW w:type="dxa" w:w="2880"/>
          </w:tcPr>
          <w:p>
            <w:r>
              <w:t>De 0,00 a 6.270,00</w:t>
            </w:r>
            <w:r/>
          </w:p>
        </w:tc>
        <w:tc>
          <w:tcPr>
            <w:tcW w:type="dxa" w:w="2880"/>
          </w:tcPr>
          <w:p>
            <w:r>
              <w:t>0,0%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</w:tr>
      <w:tr>
        <w:tc>
          <w:tcPr>
            <w:tcW w:type="dxa" w:w="2880"/>
          </w:tcPr>
          <w:p>
            <w:r>
              <w:t>De 6.270,01 a 9.405,00</w:t>
            </w:r>
            <w:r/>
          </w:p>
        </w:tc>
        <w:tc>
          <w:tcPr>
            <w:tcW w:type="dxa" w:w="2880"/>
          </w:tcPr>
          <w:p>
            <w:r>
              <w:t>7,5%</w:t>
            </w:r>
            <w:r/>
          </w:p>
        </w:tc>
        <w:tc>
          <w:tcPr>
            <w:tcW w:type="dxa" w:w="2880"/>
          </w:tcPr>
          <w:p>
            <w:r>
              <w:t>470,25</w:t>
            </w:r>
            <w:r/>
          </w:p>
        </w:tc>
      </w:tr>
      <w:tr>
        <w:tc>
          <w:tcPr>
            <w:tcW w:type="dxa" w:w="2880"/>
          </w:tcPr>
          <w:p>
            <w:r>
              <w:t>De 9.405,01 a 12.540,00</w:t>
            </w:r>
            <w:r/>
          </w:p>
        </w:tc>
        <w:tc>
          <w:tcPr>
            <w:tcW w:type="dxa" w:w="2880"/>
          </w:tcPr>
          <w:p>
            <w:r>
              <w:t>15%</w:t>
            </w:r>
            <w:r/>
          </w:p>
        </w:tc>
        <w:tc>
          <w:tcPr>
            <w:tcW w:type="dxa" w:w="2880"/>
          </w:tcPr>
          <w:p>
            <w:r>
              <w:t>1.175,63</w:t>
            </w:r>
            <w:r/>
          </w:p>
        </w:tc>
      </w:tr>
      <w:tr>
        <w:tc>
          <w:tcPr>
            <w:tcW w:type="dxa" w:w="2880"/>
          </w:tcPr>
          <w:p>
            <w:r>
              <w:t>De 12.540,01 a 15.675,00</w:t>
            </w:r>
            <w:r/>
          </w:p>
        </w:tc>
        <w:tc>
          <w:tcPr>
            <w:tcW w:type="dxa" w:w="2880"/>
          </w:tcPr>
          <w:p>
            <w:r>
              <w:t>22,5%</w:t>
            </w:r>
            <w:r/>
          </w:p>
        </w:tc>
        <w:tc>
          <w:tcPr>
            <w:tcW w:type="dxa" w:w="2880"/>
          </w:tcPr>
          <w:p>
            <w:r>
              <w:t>2.116,13</w:t>
            </w:r>
            <w:r/>
          </w:p>
        </w:tc>
      </w:tr>
      <w:tr>
        <w:tc>
          <w:tcPr>
            <w:tcW w:type="dxa" w:w="2880"/>
          </w:tcPr>
          <w:p>
            <w:r>
              <w:t>Acima de 15.675,00</w:t>
            </w:r>
            <w:r/>
          </w:p>
        </w:tc>
        <w:tc>
          <w:tcPr>
            <w:tcW w:type="dxa" w:w="2880"/>
          </w:tcPr>
          <w:p>
            <w:r>
              <w:t>27,5%</w:t>
            </w:r>
            <w:r/>
          </w:p>
        </w:tc>
        <w:tc>
          <w:tcPr>
            <w:tcW w:type="dxa" w:w="2880"/>
          </w:tcPr>
          <w:p>
            <w:r>
              <w:t>2.899,88</w:t>
            </w:r>
            <w:r/>
          </w:p>
        </w:tc>
      </w:tr>
    </w:tbl>
    <w:p>
      <w:r>
        <w:t>IV - a partir do mês de abril do ano-calendário de 2015: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Valor do PLR anual (em R$)</w:t>
            </w:r>
            <w:r/>
          </w:p>
        </w:tc>
        <w:tc>
          <w:tcPr>
            <w:tcW w:type="dxa" w:w="2880"/>
          </w:tcPr>
          <w:p>
            <w:r>
              <w:t>Alíquota</w:t>
            </w:r>
            <w:r/>
          </w:p>
        </w:tc>
        <w:tc>
          <w:tcPr>
            <w:tcW w:type="dxa" w:w="2880"/>
          </w:tcPr>
          <w:p>
            <w:r>
              <w:t>Parcela a deduzir do imposto (em R$)</w:t>
            </w:r>
            <w:r/>
          </w:p>
        </w:tc>
      </w:tr>
      <w:tr>
        <w:tc>
          <w:tcPr>
            <w:tcW w:type="dxa" w:w="2880"/>
          </w:tcPr>
          <w:p>
            <w:r>
              <w:t>De 0,00 a 6.677,55</w:t>
            </w:r>
            <w:r/>
          </w:p>
        </w:tc>
        <w:tc>
          <w:tcPr>
            <w:tcW w:type="dxa" w:w="2880"/>
          </w:tcPr>
          <w:p>
            <w:r>
              <w:t>0,0%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</w:tr>
      <w:tr>
        <w:tc>
          <w:tcPr>
            <w:tcW w:type="dxa" w:w="2880"/>
          </w:tcPr>
          <w:p>
            <w:r>
              <w:t>De 6.677,56 a 9.922,28</w:t>
            </w:r>
            <w:r/>
          </w:p>
        </w:tc>
        <w:tc>
          <w:tcPr>
            <w:tcW w:type="dxa" w:w="2880"/>
          </w:tcPr>
          <w:p>
            <w:r>
              <w:t>7,5%</w:t>
            </w:r>
            <w:r/>
          </w:p>
        </w:tc>
        <w:tc>
          <w:tcPr>
            <w:tcW w:type="dxa" w:w="2880"/>
          </w:tcPr>
          <w:p>
            <w:r>
              <w:t>500,82</w:t>
            </w:r>
            <w:r/>
          </w:p>
        </w:tc>
      </w:tr>
      <w:tr>
        <w:tc>
          <w:tcPr>
            <w:tcW w:type="dxa" w:w="2880"/>
          </w:tcPr>
          <w:p>
            <w:r>
              <w:t>De 9.922,29 a 13.167,00</w:t>
            </w:r>
            <w:r/>
          </w:p>
        </w:tc>
        <w:tc>
          <w:tcPr>
            <w:tcW w:type="dxa" w:w="2880"/>
          </w:tcPr>
          <w:p>
            <w:r>
              <w:t>15%</w:t>
            </w:r>
            <w:r/>
          </w:p>
        </w:tc>
        <w:tc>
          <w:tcPr>
            <w:tcW w:type="dxa" w:w="2880"/>
          </w:tcPr>
          <w:p>
            <w:r>
              <w:t>1.244,99</w:t>
            </w:r>
            <w:r/>
          </w:p>
        </w:tc>
      </w:tr>
      <w:tr>
        <w:tc>
          <w:tcPr>
            <w:tcW w:type="dxa" w:w="2880"/>
          </w:tcPr>
          <w:p>
            <w:r>
              <w:t>De 13.167,01 a 16.380,38</w:t>
            </w:r>
            <w:r/>
          </w:p>
        </w:tc>
        <w:tc>
          <w:tcPr>
            <w:tcW w:type="dxa" w:w="2880"/>
          </w:tcPr>
          <w:p>
            <w:r>
              <w:t>22,5%</w:t>
            </w:r>
            <w:r/>
          </w:p>
        </w:tc>
        <w:tc>
          <w:tcPr>
            <w:tcW w:type="dxa" w:w="2880"/>
          </w:tcPr>
          <w:p>
            <w:r>
              <w:t>2.232,51</w:t>
            </w:r>
            <w:r/>
          </w:p>
        </w:tc>
      </w:tr>
      <w:tr>
        <w:tc>
          <w:tcPr>
            <w:tcW w:type="dxa" w:w="2880"/>
          </w:tcPr>
          <w:p>
            <w:r>
              <w:t>Acima de 16.380,38</w:t>
            </w:r>
            <w:r/>
          </w:p>
        </w:tc>
        <w:tc>
          <w:tcPr>
            <w:tcW w:type="dxa" w:w="2880"/>
          </w:tcPr>
          <w:p>
            <w:r>
              <w:t>27,5%</w:t>
            </w:r>
            <w:r/>
          </w:p>
        </w:tc>
        <w:tc>
          <w:tcPr>
            <w:tcW w:type="dxa" w:w="2880"/>
          </w:tcPr>
          <w:p>
            <w:r>
              <w:t>3.051,53</w:t>
            </w:r>
            <w:r/>
          </w:p>
        </w:tc>
      </w:tr>
    </w:tbl>
    <w:p>
      <w:r>
        <w:t>”</w:t>
      </w:r>
    </w:p>
    <w:p>
      <w:r>
        <w:t>Art. 7º O item IV do Anexo IV da Instrução Normativa RFB nº 1.500, de 2014, passa a vigorar com a seguinte redação:</w:t>
      </w:r>
    </w:p>
    <w:p>
      <w:r>
        <w:t>“IV - para o ano-calendário de 2014: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 de Cálculo em R$</w:t>
            </w:r>
            <w:r/>
          </w:p>
        </w:tc>
        <w:tc>
          <w:tcPr>
            <w:tcW w:type="dxa" w:w="2880"/>
          </w:tcPr>
          <w:p>
            <w:r>
              <w:t>Alíquota (%)</w:t>
            </w:r>
            <w:r/>
          </w:p>
        </w:tc>
        <w:tc>
          <w:tcPr>
            <w:tcW w:type="dxa" w:w="2880"/>
          </w:tcPr>
          <w:p>
            <w:r>
              <w:t>Parcela a deduzir do imposto (R$)</w:t>
            </w:r>
            <w:r/>
          </w:p>
        </w:tc>
      </w:tr>
      <w:tr>
        <w:tc>
          <w:tcPr>
            <w:tcW w:type="dxa" w:w="2880"/>
          </w:tcPr>
          <w:p>
            <w:r>
              <w:t>Até (1.787,77 x NM)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</w:tr>
      <w:tr>
        <w:tc>
          <w:tcPr>
            <w:tcW w:type="dxa" w:w="2880"/>
          </w:tcPr>
          <w:p>
            <w:r>
              <w:t>Acima de (1.787,77 x NM) até (2.679,29 x NM)</w:t>
            </w:r>
            <w:r/>
          </w:p>
        </w:tc>
        <w:tc>
          <w:tcPr>
            <w:tcW w:type="dxa" w:w="2880"/>
          </w:tcPr>
          <w:p>
            <w:r>
              <w:t>7,5</w:t>
            </w:r>
            <w:r/>
          </w:p>
        </w:tc>
        <w:tc>
          <w:tcPr>
            <w:tcW w:type="dxa" w:w="2880"/>
          </w:tcPr>
          <w:p>
            <w:r>
              <w:t>134,08275 x NM</w:t>
            </w:r>
            <w:r/>
          </w:p>
        </w:tc>
      </w:tr>
      <w:tr>
        <w:tc>
          <w:tcPr>
            <w:tcW w:type="dxa" w:w="2880"/>
          </w:tcPr>
          <w:p>
            <w:r>
              <w:t>Acima de (2.679,29 x NM) até (3.572,43 x NM)</w:t>
            </w:r>
            <w:r/>
          </w:p>
        </w:tc>
        <w:tc>
          <w:tcPr>
            <w:tcW w:type="dxa" w:w="2880"/>
          </w:tcPr>
          <w:p>
            <w:r>
              <w:t>15</w:t>
            </w:r>
            <w:r/>
          </w:p>
        </w:tc>
        <w:tc>
          <w:tcPr>
            <w:tcW w:type="dxa" w:w="2880"/>
          </w:tcPr>
          <w:p>
            <w:r>
              <w:t>335,02950 x NM</w:t>
            </w:r>
            <w:r/>
          </w:p>
        </w:tc>
      </w:tr>
      <w:tr>
        <w:tc>
          <w:tcPr>
            <w:tcW w:type="dxa" w:w="2880"/>
          </w:tcPr>
          <w:p>
            <w:r>
              <w:t>Acima de (3.572,43 x NM) até (4.463,81 x NM)</w:t>
            </w:r>
            <w:r/>
          </w:p>
        </w:tc>
        <w:tc>
          <w:tcPr>
            <w:tcW w:type="dxa" w:w="2880"/>
          </w:tcPr>
          <w:p>
            <w:r>
              <w:t>22,5</w:t>
            </w:r>
            <w:r/>
          </w:p>
        </w:tc>
        <w:tc>
          <w:tcPr>
            <w:tcW w:type="dxa" w:w="2880"/>
          </w:tcPr>
          <w:p>
            <w:r>
              <w:t>602,96175 x NM</w:t>
            </w:r>
            <w:r/>
          </w:p>
        </w:tc>
      </w:tr>
      <w:tr>
        <w:tc>
          <w:tcPr>
            <w:tcW w:type="dxa" w:w="2880"/>
          </w:tcPr>
          <w:p>
            <w:r>
              <w:t>Acima de (4.463,81 x NM)</w:t>
            </w:r>
            <w:r/>
          </w:p>
        </w:tc>
        <w:tc>
          <w:tcPr>
            <w:tcW w:type="dxa" w:w="2880"/>
          </w:tcPr>
          <w:p>
            <w:r>
              <w:t>27,5</w:t>
            </w:r>
            <w:r/>
          </w:p>
        </w:tc>
        <w:tc>
          <w:tcPr>
            <w:tcW w:type="dxa" w:w="2880"/>
          </w:tcPr>
          <w:p>
            <w:r>
              <w:t>826,15225 x NM</w:t>
            </w:r>
            <w:r/>
          </w:p>
        </w:tc>
      </w:tr>
    </w:tbl>
    <w:p>
      <w:r>
        <w:t>” (NR)</w:t>
      </w:r>
    </w:p>
    <w:p>
      <w:r>
        <w:t>Art. 8º O Anexo IV da Instrução Normativa RFB nº 1.500, de 2014, passa a vigorar acrescido dos itens V e VI:</w:t>
      </w:r>
    </w:p>
    <w:p>
      <w:r>
        <w:t>“V - para o ano-calendário de 2015, até o mês de março: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 de Cálculo em R$</w:t>
            </w:r>
            <w:r/>
          </w:p>
        </w:tc>
        <w:tc>
          <w:tcPr>
            <w:tcW w:type="dxa" w:w="2880"/>
          </w:tcPr>
          <w:p>
            <w:r>
              <w:t>Alíquota (%)</w:t>
            </w:r>
            <w:r/>
          </w:p>
        </w:tc>
        <w:tc>
          <w:tcPr>
            <w:tcW w:type="dxa" w:w="2880"/>
          </w:tcPr>
          <w:p>
            <w:r>
              <w:t>Parcela a deduzir do imposto (R$)</w:t>
            </w:r>
            <w:r/>
          </w:p>
        </w:tc>
      </w:tr>
      <w:tr>
        <w:tc>
          <w:tcPr>
            <w:tcW w:type="dxa" w:w="2880"/>
          </w:tcPr>
          <w:p>
            <w:r>
              <w:t>Até (1.787,77 x NM)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</w:tr>
      <w:tr>
        <w:tc>
          <w:tcPr>
            <w:tcW w:type="dxa" w:w="2880"/>
          </w:tcPr>
          <w:p>
            <w:r>
              <w:t>Acima de (1.787,77 x NM) até (2.679,29 x NM)</w:t>
            </w:r>
            <w:r/>
          </w:p>
        </w:tc>
        <w:tc>
          <w:tcPr>
            <w:tcW w:type="dxa" w:w="2880"/>
          </w:tcPr>
          <w:p>
            <w:r>
              <w:t>7,5</w:t>
            </w:r>
            <w:r/>
          </w:p>
        </w:tc>
        <w:tc>
          <w:tcPr>
            <w:tcW w:type="dxa" w:w="2880"/>
          </w:tcPr>
          <w:p>
            <w:r>
              <w:t>134,08275 x NM</w:t>
            </w:r>
            <w:r/>
          </w:p>
        </w:tc>
      </w:tr>
      <w:tr>
        <w:tc>
          <w:tcPr>
            <w:tcW w:type="dxa" w:w="2880"/>
          </w:tcPr>
          <w:p>
            <w:r>
              <w:t>Acima de (2.679,29 x NM) até (3.572,43 x NM)</w:t>
            </w:r>
            <w:r/>
          </w:p>
        </w:tc>
        <w:tc>
          <w:tcPr>
            <w:tcW w:type="dxa" w:w="2880"/>
          </w:tcPr>
          <w:p>
            <w:r>
              <w:t>15</w:t>
            </w:r>
            <w:r/>
          </w:p>
        </w:tc>
        <w:tc>
          <w:tcPr>
            <w:tcW w:type="dxa" w:w="2880"/>
          </w:tcPr>
          <w:p>
            <w:r>
              <w:t>335,02950 x NM</w:t>
            </w:r>
            <w:r/>
          </w:p>
        </w:tc>
      </w:tr>
      <w:tr>
        <w:tc>
          <w:tcPr>
            <w:tcW w:type="dxa" w:w="2880"/>
          </w:tcPr>
          <w:p>
            <w:r>
              <w:t>Acima de (3.572,43 x NM) até (4.463,81 x NM)</w:t>
            </w:r>
            <w:r/>
          </w:p>
        </w:tc>
        <w:tc>
          <w:tcPr>
            <w:tcW w:type="dxa" w:w="2880"/>
          </w:tcPr>
          <w:p>
            <w:r>
              <w:t>22,5</w:t>
            </w:r>
            <w:r/>
          </w:p>
        </w:tc>
        <w:tc>
          <w:tcPr>
            <w:tcW w:type="dxa" w:w="2880"/>
          </w:tcPr>
          <w:p>
            <w:r>
              <w:t>602,96175 x NM</w:t>
            </w:r>
            <w:r/>
          </w:p>
        </w:tc>
      </w:tr>
      <w:tr>
        <w:tc>
          <w:tcPr>
            <w:tcW w:type="dxa" w:w="2880"/>
          </w:tcPr>
          <w:p>
            <w:r>
              <w:t>Acima de (4.463,81 x NM)</w:t>
            </w:r>
            <w:r/>
          </w:p>
        </w:tc>
        <w:tc>
          <w:tcPr>
            <w:tcW w:type="dxa" w:w="2880"/>
          </w:tcPr>
          <w:p>
            <w:r>
              <w:t>27,5</w:t>
            </w:r>
            <w:r/>
          </w:p>
        </w:tc>
        <w:tc>
          <w:tcPr>
            <w:tcW w:type="dxa" w:w="2880"/>
          </w:tcPr>
          <w:p>
            <w:r>
              <w:t>826,15225 x NM</w:t>
            </w:r>
            <w:r/>
          </w:p>
        </w:tc>
      </w:tr>
    </w:tbl>
    <w:p>
      <w:r>
        <w:t>VI - a partir do mês de abril do ano-calendário de 2015: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 de Cálculo em R$</w:t>
            </w:r>
            <w:r/>
          </w:p>
        </w:tc>
        <w:tc>
          <w:tcPr>
            <w:tcW w:type="dxa" w:w="2880"/>
          </w:tcPr>
          <w:p>
            <w:r>
              <w:t>Alíquota (%)</w:t>
            </w:r>
            <w:r/>
          </w:p>
        </w:tc>
        <w:tc>
          <w:tcPr>
            <w:tcW w:type="dxa" w:w="2880"/>
          </w:tcPr>
          <w:p>
            <w:r>
              <w:t>Parcela a deduzir do imposto (R$)</w:t>
            </w:r>
            <w:r/>
          </w:p>
        </w:tc>
      </w:tr>
      <w:tr>
        <w:tc>
          <w:tcPr>
            <w:tcW w:type="dxa" w:w="2880"/>
          </w:tcPr>
          <w:p>
            <w:r>
              <w:t>Até (1.903,98 x NM)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</w:tr>
      <w:tr>
        <w:tc>
          <w:tcPr>
            <w:tcW w:type="dxa" w:w="2880"/>
          </w:tcPr>
          <w:p>
            <w:r>
              <w:t>Acima de (1.903,98 x NM) até (2.826,65 x NM)</w:t>
            </w:r>
            <w:r/>
          </w:p>
        </w:tc>
        <w:tc>
          <w:tcPr>
            <w:tcW w:type="dxa" w:w="2880"/>
          </w:tcPr>
          <w:p>
            <w:r>
              <w:t>7,5</w:t>
            </w:r>
            <w:r/>
          </w:p>
        </w:tc>
        <w:tc>
          <w:tcPr>
            <w:tcW w:type="dxa" w:w="2880"/>
          </w:tcPr>
          <w:p>
            <w:r>
              <w:t>142,79850 x NM</w:t>
            </w:r>
            <w:r/>
          </w:p>
        </w:tc>
      </w:tr>
      <w:tr>
        <w:tc>
          <w:tcPr>
            <w:tcW w:type="dxa" w:w="2880"/>
          </w:tcPr>
          <w:p>
            <w:r>
              <w:t>Acima de (2.826,65 x NM) até (3.751,05 x NM)</w:t>
            </w:r>
            <w:r/>
          </w:p>
        </w:tc>
        <w:tc>
          <w:tcPr>
            <w:tcW w:type="dxa" w:w="2880"/>
          </w:tcPr>
          <w:p>
            <w:r>
              <w:t>15</w:t>
            </w:r>
            <w:r/>
          </w:p>
        </w:tc>
        <w:tc>
          <w:tcPr>
            <w:tcW w:type="dxa" w:w="2880"/>
          </w:tcPr>
          <w:p>
            <w:r>
              <w:t>354,79725 x NM</w:t>
            </w:r>
            <w:r/>
          </w:p>
        </w:tc>
      </w:tr>
      <w:tr>
        <w:tc>
          <w:tcPr>
            <w:tcW w:type="dxa" w:w="2880"/>
          </w:tcPr>
          <w:p>
            <w:r>
              <w:t>Acima de (3.751,05 x NM) até (4.664,68 x NM)</w:t>
            </w:r>
            <w:r/>
          </w:p>
        </w:tc>
        <w:tc>
          <w:tcPr>
            <w:tcW w:type="dxa" w:w="2880"/>
          </w:tcPr>
          <w:p>
            <w:r>
              <w:t>22,5</w:t>
            </w:r>
            <w:r/>
          </w:p>
        </w:tc>
        <w:tc>
          <w:tcPr>
            <w:tcW w:type="dxa" w:w="2880"/>
          </w:tcPr>
          <w:p>
            <w:r>
              <w:t>636,12600 x NM</w:t>
            </w:r>
            <w:r/>
          </w:p>
        </w:tc>
      </w:tr>
      <w:tr>
        <w:tc>
          <w:tcPr>
            <w:tcW w:type="dxa" w:w="2880"/>
          </w:tcPr>
          <w:p>
            <w:r>
              <w:t>Acima de (4.664,68 x NM)</w:t>
            </w:r>
            <w:r/>
          </w:p>
        </w:tc>
        <w:tc>
          <w:tcPr>
            <w:tcW w:type="dxa" w:w="2880"/>
          </w:tcPr>
          <w:p>
            <w:r>
              <w:t>27,5</w:t>
            </w:r>
            <w:r/>
          </w:p>
        </w:tc>
        <w:tc>
          <w:tcPr>
            <w:tcW w:type="dxa" w:w="2880"/>
          </w:tcPr>
          <w:p>
            <w:r>
              <w:t>869,36000 x NM</w:t>
            </w:r>
            <w:r/>
          </w:p>
        </w:tc>
      </w:tr>
    </w:tbl>
    <w:p>
      <w:r>
        <w:t>Legenda: NM = Número de meses a que se refere o pagamento acumulado”</w:t>
      </w:r>
    </w:p>
    <w:p>
      <w:r>
        <w:t>Art. 9º O Anexo VI da Instrução Normativa RFB nº 1.500, de 2014, passa a vigorar com a seguinte redação:</w:t>
      </w:r>
    </w:p>
    <w:p>
      <w:r>
        <w:t>“Mensal: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Ano-calendário</w:t>
            </w:r>
            <w:r/>
          </w:p>
        </w:tc>
        <w:tc>
          <w:tcPr>
            <w:tcW w:type="dxa" w:w="4320"/>
          </w:tcPr>
          <w:p>
            <w:r>
              <w:t>Quantia por dependente (em R$)</w:t>
            </w:r>
            <w:r/>
          </w:p>
        </w:tc>
      </w:tr>
      <w:tr>
        <w:tc>
          <w:tcPr>
            <w:tcW w:type="dxa" w:w="4320"/>
          </w:tcPr>
          <w:p>
            <w:r>
              <w:t>2010</w:t>
            </w:r>
            <w:r/>
          </w:p>
        </w:tc>
        <w:tc>
          <w:tcPr>
            <w:tcW w:type="dxa" w:w="4320"/>
          </w:tcPr>
          <w:p>
            <w:r>
              <w:t>150,69</w:t>
            </w:r>
            <w:r/>
          </w:p>
        </w:tc>
      </w:tr>
      <w:tr>
        <w:tc>
          <w:tcPr>
            <w:tcW w:type="dxa" w:w="4320"/>
          </w:tcPr>
          <w:p>
            <w:r>
              <w:t>2011</w:t>
            </w:r>
            <w:r/>
          </w:p>
        </w:tc>
        <w:tc>
          <w:tcPr>
            <w:tcW w:type="dxa" w:w="4320"/>
          </w:tcPr>
          <w:p>
            <w:r>
              <w:t>157,47</w:t>
            </w:r>
            <w:r/>
          </w:p>
        </w:tc>
      </w:tr>
      <w:tr>
        <w:tc>
          <w:tcPr>
            <w:tcW w:type="dxa" w:w="4320"/>
          </w:tcPr>
          <w:p>
            <w:r>
              <w:t>2012</w:t>
            </w:r>
            <w:r/>
          </w:p>
        </w:tc>
        <w:tc>
          <w:tcPr>
            <w:tcW w:type="dxa" w:w="4320"/>
          </w:tcPr>
          <w:p>
            <w:r>
              <w:t>164,56</w:t>
            </w:r>
            <w:r/>
          </w:p>
        </w:tc>
      </w:tr>
      <w:tr>
        <w:tc>
          <w:tcPr>
            <w:tcW w:type="dxa" w:w="4320"/>
          </w:tcPr>
          <w:p>
            <w:r>
              <w:t>2013</w:t>
            </w:r>
            <w:r/>
          </w:p>
        </w:tc>
        <w:tc>
          <w:tcPr>
            <w:tcW w:type="dxa" w:w="4320"/>
          </w:tcPr>
          <w:p>
            <w:r>
              <w:t>171,97</w:t>
            </w:r>
            <w:r/>
          </w:p>
        </w:tc>
      </w:tr>
      <w:tr>
        <w:tc>
          <w:tcPr>
            <w:tcW w:type="dxa" w:w="4320"/>
          </w:tcPr>
          <w:p>
            <w:r>
              <w:t>2014</w:t>
            </w:r>
            <w:r/>
          </w:p>
        </w:tc>
        <w:tc>
          <w:tcPr>
            <w:tcW w:type="dxa" w:w="4320"/>
          </w:tcPr>
          <w:p>
            <w:r>
              <w:t>179,71</w:t>
            </w:r>
            <w:r/>
          </w:p>
        </w:tc>
      </w:tr>
      <w:tr>
        <w:tc>
          <w:tcPr>
            <w:tcW w:type="dxa" w:w="4320"/>
          </w:tcPr>
          <w:p>
            <w:r>
              <w:t>2015, até o mês de março</w:t>
            </w:r>
            <w:r/>
          </w:p>
        </w:tc>
        <w:tc>
          <w:tcPr>
            <w:tcW w:type="dxa" w:w="4320"/>
          </w:tcPr>
          <w:p>
            <w:r>
              <w:t>179,71</w:t>
            </w:r>
            <w:r/>
          </w:p>
        </w:tc>
      </w:tr>
      <w:tr>
        <w:tc>
          <w:tcPr>
            <w:tcW w:type="dxa" w:w="4320"/>
          </w:tcPr>
          <w:p>
            <w:r>
              <w:t>A partir do mês de abril do ano-caledário de 2015</w:t>
            </w:r>
            <w:r/>
          </w:p>
        </w:tc>
        <w:tc>
          <w:tcPr>
            <w:tcW w:type="dxa" w:w="4320"/>
          </w:tcPr>
          <w:p>
            <w:r>
              <w:t>189,59</w:t>
            </w:r>
            <w:r/>
          </w:p>
        </w:tc>
      </w:tr>
    </w:tbl>
    <w:p>
      <w:r>
        <w:t>Anual: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Ano-calendário</w:t>
            </w:r>
            <w:r/>
          </w:p>
        </w:tc>
        <w:tc>
          <w:tcPr>
            <w:tcW w:type="dxa" w:w="4320"/>
          </w:tcPr>
          <w:p>
            <w:r>
              <w:t>Quantia por dependente (em R$)</w:t>
            </w:r>
            <w:r/>
          </w:p>
        </w:tc>
      </w:tr>
      <w:tr>
        <w:tc>
          <w:tcPr>
            <w:tcW w:type="dxa" w:w="4320"/>
          </w:tcPr>
          <w:p>
            <w:r>
              <w:t>2010</w:t>
            </w:r>
            <w:r/>
          </w:p>
        </w:tc>
        <w:tc>
          <w:tcPr>
            <w:tcW w:type="dxa" w:w="4320"/>
          </w:tcPr>
          <w:p>
            <w:r>
              <w:t>1.808,28</w:t>
            </w:r>
            <w:r/>
          </w:p>
        </w:tc>
      </w:tr>
      <w:tr>
        <w:tc>
          <w:tcPr>
            <w:tcW w:type="dxa" w:w="4320"/>
          </w:tcPr>
          <w:p>
            <w:r>
              <w:t>2011</w:t>
            </w:r>
            <w:r/>
          </w:p>
        </w:tc>
        <w:tc>
          <w:tcPr>
            <w:tcW w:type="dxa" w:w="4320"/>
          </w:tcPr>
          <w:p>
            <w:r>
              <w:t>1.889,64</w:t>
            </w:r>
            <w:r/>
          </w:p>
        </w:tc>
      </w:tr>
      <w:tr>
        <w:tc>
          <w:tcPr>
            <w:tcW w:type="dxa" w:w="4320"/>
          </w:tcPr>
          <w:p>
            <w:r>
              <w:t>2012</w:t>
            </w:r>
            <w:r/>
          </w:p>
        </w:tc>
        <w:tc>
          <w:tcPr>
            <w:tcW w:type="dxa" w:w="4320"/>
          </w:tcPr>
          <w:p>
            <w:r>
              <w:t>1.974,72</w:t>
            </w:r>
            <w:r/>
          </w:p>
        </w:tc>
      </w:tr>
      <w:tr>
        <w:tc>
          <w:tcPr>
            <w:tcW w:type="dxa" w:w="4320"/>
          </w:tcPr>
          <w:p>
            <w:r>
              <w:t>2013</w:t>
            </w:r>
            <w:r/>
          </w:p>
        </w:tc>
        <w:tc>
          <w:tcPr>
            <w:tcW w:type="dxa" w:w="4320"/>
          </w:tcPr>
          <w:p>
            <w:r>
              <w:t>2.063,64</w:t>
            </w:r>
            <w:r/>
          </w:p>
        </w:tc>
      </w:tr>
      <w:tr>
        <w:tc>
          <w:tcPr>
            <w:tcW w:type="dxa" w:w="4320"/>
          </w:tcPr>
          <w:p>
            <w:r>
              <w:t>2014</w:t>
            </w:r>
            <w:r/>
          </w:p>
        </w:tc>
        <w:tc>
          <w:tcPr>
            <w:tcW w:type="dxa" w:w="4320"/>
          </w:tcPr>
          <w:p>
            <w:r>
              <w:t>2.156,52</w:t>
            </w:r>
            <w:r/>
          </w:p>
        </w:tc>
      </w:tr>
      <w:tr>
        <w:tc>
          <w:tcPr>
            <w:tcW w:type="dxa" w:w="4320"/>
          </w:tcPr>
          <w:p>
            <w:r>
              <w:t>A partir de 2015</w:t>
            </w:r>
            <w:r/>
          </w:p>
        </w:tc>
        <w:tc>
          <w:tcPr>
            <w:tcW w:type="dxa" w:w="4320"/>
          </w:tcPr>
          <w:p>
            <w:r>
              <w:t>2.275,08</w:t>
            </w:r>
            <w:r/>
          </w:p>
        </w:tc>
      </w:tr>
    </w:tbl>
    <w:p>
      <w:r>
        <w:t>” (NR)</w:t>
      </w:r>
    </w:p>
    <w:p>
      <w:r>
        <w:t>Art. 10. O item IV do Anexo VII da Instrução Normativa RFB nº 1.500, de 2014, passa a vigorar com a seguinte redação:</w:t>
      </w:r>
    </w:p>
    <w:p>
      <w:r>
        <w:t>“IV - para o exercício de 2015, ano-calendário de 2014:</w:t>
      </w:r>
    </w:p>
    <w:p>
      <w:r>
        <w:t>........................................................................................” (NR)</w:t>
      </w:r>
    </w:p>
    <w:p>
      <w:r>
        <w:t>Art. 11. O Anexo VII da Instrução Normativa RFB nº 1.500, de 2014, passa a vigorar acrescido do item V:</w:t>
      </w:r>
    </w:p>
    <w:p>
      <w:r>
        <w:t>“V - a partir do exercício 2016, ano-calendário de 2015: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 de Cálculo (R$)</w:t>
            </w:r>
            <w:r/>
          </w:p>
        </w:tc>
        <w:tc>
          <w:tcPr>
            <w:tcW w:type="dxa" w:w="2880"/>
          </w:tcPr>
          <w:p>
            <w:r>
              <w:t>Alíquota (%)</w:t>
            </w:r>
            <w:r/>
          </w:p>
        </w:tc>
        <w:tc>
          <w:tcPr>
            <w:tcW w:type="dxa" w:w="2880"/>
          </w:tcPr>
          <w:p>
            <w:r>
              <w:t>Parcela a deduzir do IR (R$)</w:t>
            </w:r>
            <w:r/>
          </w:p>
        </w:tc>
      </w:tr>
      <w:tr>
        <w:tc>
          <w:tcPr>
            <w:tcW w:type="dxa" w:w="2880"/>
          </w:tcPr>
          <w:p>
            <w:r>
              <w:t>Até 22.499,13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  <w:tc>
          <w:tcPr>
            <w:tcW w:type="dxa" w:w="2880"/>
          </w:tcPr>
          <w:p>
            <w:r>
              <w:t>-</w:t>
            </w:r>
            <w:r/>
          </w:p>
        </w:tc>
      </w:tr>
      <w:tr>
        <w:tc>
          <w:tcPr>
            <w:tcW w:type="dxa" w:w="2880"/>
          </w:tcPr>
          <w:p>
            <w:r>
              <w:t>De 22.499,14 até 33.477,72</w:t>
            </w:r>
            <w:r/>
          </w:p>
        </w:tc>
        <w:tc>
          <w:tcPr>
            <w:tcW w:type="dxa" w:w="2880"/>
          </w:tcPr>
          <w:p>
            <w:r>
              <w:t>7,5</w:t>
            </w:r>
            <w:r/>
          </w:p>
        </w:tc>
        <w:tc>
          <w:tcPr>
            <w:tcW w:type="dxa" w:w="2880"/>
          </w:tcPr>
          <w:p>
            <w:r>
              <w:t>1.687,43</w:t>
            </w:r>
            <w:r/>
          </w:p>
        </w:tc>
      </w:tr>
      <w:tr>
        <w:tc>
          <w:tcPr>
            <w:tcW w:type="dxa" w:w="2880"/>
          </w:tcPr>
          <w:p>
            <w:r>
              <w:t>De 33.477,73 até 44.476,74</w:t>
            </w:r>
            <w:r/>
          </w:p>
        </w:tc>
        <w:tc>
          <w:tcPr>
            <w:tcW w:type="dxa" w:w="2880"/>
          </w:tcPr>
          <w:p>
            <w:r>
              <w:t>15</w:t>
            </w:r>
            <w:r/>
          </w:p>
        </w:tc>
        <w:tc>
          <w:tcPr>
            <w:tcW w:type="dxa" w:w="2880"/>
          </w:tcPr>
          <w:p>
            <w:r>
              <w:t>4.198,26</w:t>
            </w:r>
            <w:r/>
          </w:p>
        </w:tc>
      </w:tr>
      <w:tr>
        <w:tc>
          <w:tcPr>
            <w:tcW w:type="dxa" w:w="2880"/>
          </w:tcPr>
          <w:p>
            <w:r>
              <w:t>De 44.476,75 até 55.373,55</w:t>
            </w:r>
            <w:r/>
          </w:p>
        </w:tc>
        <w:tc>
          <w:tcPr>
            <w:tcW w:type="dxa" w:w="2880"/>
          </w:tcPr>
          <w:p>
            <w:r>
              <w:t>22,5</w:t>
            </w:r>
            <w:r/>
          </w:p>
        </w:tc>
        <w:tc>
          <w:tcPr>
            <w:tcW w:type="dxa" w:w="2880"/>
          </w:tcPr>
          <w:p>
            <w:r>
              <w:t>7.534,02</w:t>
            </w:r>
            <w:r/>
          </w:p>
        </w:tc>
      </w:tr>
      <w:tr>
        <w:tc>
          <w:tcPr>
            <w:tcW w:type="dxa" w:w="2880"/>
          </w:tcPr>
          <w:p>
            <w:r>
              <w:t>Acima de 55.373,55</w:t>
            </w:r>
            <w:r/>
          </w:p>
        </w:tc>
        <w:tc>
          <w:tcPr>
            <w:tcW w:type="dxa" w:w="2880"/>
          </w:tcPr>
          <w:p>
            <w:r>
              <w:t>27,5</w:t>
            </w:r>
            <w:r/>
          </w:p>
        </w:tc>
        <w:tc>
          <w:tcPr>
            <w:tcW w:type="dxa" w:w="2880"/>
          </w:tcPr>
          <w:p>
            <w:r>
              <w:t>10.302,70</w:t>
            </w:r>
            <w:r/>
          </w:p>
        </w:tc>
      </w:tr>
    </w:tbl>
    <w:p>
      <w:r>
        <w:t>”</w:t>
      </w:r>
    </w:p>
    <w:p>
      <w:r>
        <w:t>Art. 12. O Anexo VIII da Instrução Normativa RFB nº 1.500, de 2014, passa a vigorar com a seguinte redação:</w:t>
      </w:r>
    </w:p>
    <w:p>
      <w:r>
        <w:t>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Ano-calendário</w:t>
            </w:r>
            <w:r/>
          </w:p>
        </w:tc>
        <w:tc>
          <w:tcPr>
            <w:tcW w:type="dxa" w:w="4320"/>
          </w:tcPr>
          <w:p>
            <w:r>
              <w:t>Quantia (em R$)</w:t>
            </w:r>
            <w:r/>
          </w:p>
        </w:tc>
      </w:tr>
      <w:tr>
        <w:tc>
          <w:tcPr>
            <w:tcW w:type="dxa" w:w="4320"/>
          </w:tcPr>
          <w:p>
            <w:r>
              <w:t>2010</w:t>
            </w:r>
            <w:r/>
          </w:p>
        </w:tc>
        <w:tc>
          <w:tcPr>
            <w:tcW w:type="dxa" w:w="4320"/>
          </w:tcPr>
          <w:p>
            <w:r>
              <w:t>2.830,84</w:t>
            </w:r>
            <w:r/>
          </w:p>
        </w:tc>
      </w:tr>
      <w:tr>
        <w:tc>
          <w:tcPr>
            <w:tcW w:type="dxa" w:w="4320"/>
          </w:tcPr>
          <w:p>
            <w:r>
              <w:t>2011</w:t>
            </w:r>
            <w:r/>
          </w:p>
        </w:tc>
        <w:tc>
          <w:tcPr>
            <w:tcW w:type="dxa" w:w="4320"/>
          </w:tcPr>
          <w:p>
            <w:r>
              <w:t>2.958,23</w:t>
            </w:r>
            <w:r/>
          </w:p>
        </w:tc>
      </w:tr>
      <w:tr>
        <w:tc>
          <w:tcPr>
            <w:tcW w:type="dxa" w:w="4320"/>
          </w:tcPr>
          <w:p>
            <w:r>
              <w:t>2012</w:t>
            </w:r>
            <w:r/>
          </w:p>
        </w:tc>
        <w:tc>
          <w:tcPr>
            <w:tcW w:type="dxa" w:w="4320"/>
          </w:tcPr>
          <w:p>
            <w:r>
              <w:t>3.091,35</w:t>
            </w:r>
            <w:r/>
          </w:p>
        </w:tc>
      </w:tr>
      <w:tr>
        <w:tc>
          <w:tcPr>
            <w:tcW w:type="dxa" w:w="4320"/>
          </w:tcPr>
          <w:p>
            <w:r>
              <w:t>2013</w:t>
            </w:r>
            <w:r/>
          </w:p>
        </w:tc>
        <w:tc>
          <w:tcPr>
            <w:tcW w:type="dxa" w:w="4320"/>
          </w:tcPr>
          <w:p>
            <w:r>
              <w:t>3.230,46</w:t>
            </w:r>
            <w:r/>
          </w:p>
        </w:tc>
      </w:tr>
      <w:tr>
        <w:tc>
          <w:tcPr>
            <w:tcW w:type="dxa" w:w="4320"/>
          </w:tcPr>
          <w:p>
            <w:r>
              <w:t>2014</w:t>
            </w:r>
            <w:r/>
          </w:p>
        </w:tc>
        <w:tc>
          <w:tcPr>
            <w:tcW w:type="dxa" w:w="4320"/>
          </w:tcPr>
          <w:p>
            <w:r>
              <w:t>3.375,83</w:t>
            </w:r>
            <w:r/>
          </w:p>
        </w:tc>
      </w:tr>
      <w:tr>
        <w:tc>
          <w:tcPr>
            <w:tcW w:type="dxa" w:w="4320"/>
          </w:tcPr>
          <w:p>
            <w:r>
              <w:t>A partir de 2015</w:t>
            </w:r>
            <w:r/>
          </w:p>
        </w:tc>
        <w:tc>
          <w:tcPr>
            <w:tcW w:type="dxa" w:w="4320"/>
          </w:tcPr>
          <w:p>
            <w:r>
              <w:t>3.561,50</w:t>
            </w:r>
            <w:r/>
          </w:p>
        </w:tc>
      </w:tr>
    </w:tbl>
    <w:p>
      <w:r>
        <w:t>” (NR)</w:t>
      </w:r>
    </w:p>
    <w:p>
      <w:r>
        <w:t>Art. 13. O Anexo IX da Instrução Normativa RFB nº 1.500, de 2014, passa a vigorar com a seguinte redação:</w:t>
      </w:r>
    </w:p>
    <w:p>
      <w:r>
        <w:t>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Ano-calendário</w:t>
            </w:r>
            <w:r/>
          </w:p>
        </w:tc>
        <w:tc>
          <w:tcPr>
            <w:tcW w:type="dxa" w:w="4320"/>
          </w:tcPr>
          <w:p>
            <w:r>
              <w:t>Quantia (em R$)</w:t>
            </w:r>
            <w:r/>
          </w:p>
        </w:tc>
      </w:tr>
      <w:tr>
        <w:tc>
          <w:tcPr>
            <w:tcW w:type="dxa" w:w="4320"/>
          </w:tcPr>
          <w:p>
            <w:r>
              <w:t>2010</w:t>
            </w:r>
            <w:r/>
          </w:p>
        </w:tc>
        <w:tc>
          <w:tcPr>
            <w:tcW w:type="dxa" w:w="4320"/>
          </w:tcPr>
          <w:p>
            <w:r>
              <w:t>13.317,09</w:t>
            </w:r>
            <w:r/>
          </w:p>
        </w:tc>
      </w:tr>
      <w:tr>
        <w:tc>
          <w:tcPr>
            <w:tcW w:type="dxa" w:w="4320"/>
          </w:tcPr>
          <w:p>
            <w:r>
              <w:t>2011</w:t>
            </w:r>
            <w:r/>
          </w:p>
        </w:tc>
        <w:tc>
          <w:tcPr>
            <w:tcW w:type="dxa" w:w="4320"/>
          </w:tcPr>
          <w:p>
            <w:r>
              <w:t>13.916,36</w:t>
            </w:r>
            <w:r/>
          </w:p>
        </w:tc>
      </w:tr>
      <w:tr>
        <w:tc>
          <w:tcPr>
            <w:tcW w:type="dxa" w:w="4320"/>
          </w:tcPr>
          <w:p>
            <w:r>
              <w:t>2012</w:t>
            </w:r>
            <w:r/>
          </w:p>
        </w:tc>
        <w:tc>
          <w:tcPr>
            <w:tcW w:type="dxa" w:w="4320"/>
          </w:tcPr>
          <w:p>
            <w:r>
              <w:t>14.542,60</w:t>
            </w:r>
            <w:r/>
          </w:p>
        </w:tc>
      </w:tr>
      <w:tr>
        <w:tc>
          <w:tcPr>
            <w:tcW w:type="dxa" w:w="4320"/>
          </w:tcPr>
          <w:p>
            <w:r>
              <w:t>2013</w:t>
            </w:r>
            <w:r/>
          </w:p>
        </w:tc>
        <w:tc>
          <w:tcPr>
            <w:tcW w:type="dxa" w:w="4320"/>
          </w:tcPr>
          <w:p>
            <w:r>
              <w:t>15.197,02</w:t>
            </w:r>
            <w:r/>
          </w:p>
        </w:tc>
      </w:tr>
      <w:tr>
        <w:tc>
          <w:tcPr>
            <w:tcW w:type="dxa" w:w="4320"/>
          </w:tcPr>
          <w:p>
            <w:r>
              <w:t>2014</w:t>
            </w:r>
            <w:r/>
          </w:p>
        </w:tc>
        <w:tc>
          <w:tcPr>
            <w:tcW w:type="dxa" w:w="4320"/>
          </w:tcPr>
          <w:p>
            <w:r>
              <w:t>15.880,89</w:t>
            </w:r>
            <w:r/>
          </w:p>
        </w:tc>
      </w:tr>
      <w:tr>
        <w:tc>
          <w:tcPr>
            <w:tcW w:type="dxa" w:w="4320"/>
          </w:tcPr>
          <w:p>
            <w:r>
              <w:t>A partir de 2015</w:t>
            </w:r>
            <w:r/>
          </w:p>
        </w:tc>
        <w:tc>
          <w:tcPr>
            <w:tcW w:type="dxa" w:w="4320"/>
          </w:tcPr>
          <w:p>
            <w:r>
              <w:t>16.754,34</w:t>
            </w:r>
            <w:r/>
          </w:p>
        </w:tc>
      </w:tr>
    </w:tbl>
    <w:p>
      <w:r>
        <w:t>” (NR)</w:t>
      </w:r>
    </w:p>
    <w:p>
      <w:r>
        <w:t>Art. 14. Esta Instrução Normativa entra em vigor na data de sua publicação no Diário Oficial da União.</w:t>
      </w:r>
    </w:p>
    <w:p>
      <w:r>
        <w:t>Art. 15. Fica revogado o § 3º do art. 11 da Instrução Normativa SRF nº 83, de 11 de outubro de 2001.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RFB nº 1.558, de 31 de março de 2015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