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936, de 5 de maio de 2009</w:t>
      </w:r>
    </w:p>
    <w:p>
      <w:r>
        <w:t>Dispõe sobre o tratamento tributário relativo a valores pagos a título de abono pecuniário de férias.</w:t>
      </w:r>
    </w:p>
    <w:p>
      <w:r>
        <w:t>A SECRETÁRIA DA RECEITA FEDERAL DO BRASIL, no uso da atribuição que lhe confere o inciso III do art. 261 do Regimento Interno da Secretaria da Receita Federal do Brasil, aprovado pela Portaria MF nº 125, de 4 de março de 2009, e tendo em vista o Ato Declaratório PGFN nº 6, de 16 de novembro de 2006, resolve:</w:t>
      </w:r>
    </w:p>
    <w:p>
      <w:r>
        <w:t>Art. 1º Os valores pagos a pessoa física a título de abono pecuniário de férias de que trata o art. 143 da Consolidação das Leis do Trabalho (CLT), aprovada pelo Decreto-Lei nº 5.452, de 1º de maio de 1943, não serão tributados pelo imposto de renda na fonte nem na Declaração de Ajuste Anual.</w:t>
      </w:r>
    </w:p>
    <w:p>
      <w:r>
        <w:t>Art. 2º A pessoa física que recebeu os rendimentos de que trata o art. 1º com desconto do imposto de renda na fonte e que incluiu tais rendimentos na Declaração de Ajuste Anual como tributáveis, para pleitear a restituição da retenção indevida, deverá apresentar declaração retificadora do respectivo exercício da retenção, excluindo o valor recebido a título de abono pecuniário de férias do campo "rendimentos tributáveis" e informando-o no campo "outros" da ficha "rendimentos isentos e não tributáveis", com especificação da natureza do rendimento.</w:t>
      </w:r>
    </w:p>
    <w:p>
      <w:r>
        <w:t>§ 1º Para fins do disposto no caput, na declaração retificadora deverão ser mantidas todas as demais informações constantes da declaração original que não sofreram alterações.</w:t>
      </w:r>
    </w:p>
    <w:p>
      <w:r>
        <w:t>§ 2º A declaração retificadora deverá ser apresentada:</w:t>
      </w:r>
    </w:p>
    <w:p>
      <w:r>
        <w:t>I - pela Internet, mediante a utilização do programa de transmissão Receitanet, disponível no sítio da Secretaria da Receita Federal do Brasil (RFB) no endereço ; ou</w:t>
      </w:r>
    </w:p>
    <w:p>
      <w:r>
        <w:t>II - em disquete, nas unidades da RFB, durante o seu horário de expediente.</w:t>
      </w:r>
    </w:p>
    <w:p>
      <w:r>
        <w:t>§ 3º Para a elaboração e transmissão da declaração retificadora deverão ser utilizados o Programa Gerador da Declaração (PGD) relativo ao exercício da retenção indevida e o mesmo modelo (completo ou simplificado) utilizado para a declaração original, bem como deverá ser informado o número constante no recibo de entrega referente a esta declaração original.</w:t>
      </w:r>
    </w:p>
    <w:p>
      <w:r>
        <w:t>§ 4º Se da declaração retificadora resultar saldo de imposto a restituir superior ao da declaração original, a diferença entre o saldo a restituir referente à declaração retificadora e o valor eventualmente já restituído, será objeto de restituição automática.</w:t>
      </w:r>
    </w:p>
    <w:p>
      <w:r>
        <w:t>Art. 3º No caso de ter havido recolhimento de imposto no exercício a que se refere o art. 2º, se da retificação da declaração resultar pagamento indevido, a restituição ou compensação do imposto pago indevidamente na declaração original deverá ser requerida mediante a utilização do programa Pedido de Restituição, Ressarcimento ou Reembolso e Declaração de Compensação (PER/DCOMP), disponível no sítio da RFB na Internet, no endereço mencionado no inciso I do § 2º do art. 2º.</w:t>
      </w:r>
    </w:p>
    <w:p>
      <w:r>
        <w:t>Art. 4º O prazo para pleitear a restituição é de 5 (cinco) anos contados da data da retenção indevida.</w:t>
      </w:r>
    </w:p>
    <w:p>
      <w:r>
        <w:t>Art. 5º O pagamento da restituição, acrescida de juros equivalentes à taxa referencial do Sistema Especial de Liquidação e de Custódia (Selic) para títulos federais, acumulada mensalmente a partir do mês de maio do exercício correspondente ao da declaração original até o mês anterior ao da restituição, e de 1% (um por cento) no mês em que o crédito for disponibilizado ao contribuinte no banco, será efetuado por meio dos lotes mensais de restituição do Imposto sobre a Renda da Pessoa Física, disponíveis na rede bancária.</w:t>
      </w:r>
    </w:p>
    <w:p>
      <w:r>
        <w:t>Art. 6º A fonte pagadora dos rendimentos de que trata o art. 1º poderá apresentar a Declaração do Imposto de Renda Retido na Fonte (Dirf) retificadora.</w:t>
      </w:r>
    </w:p>
    <w:p>
      <w:r>
        <w:t>Parágrafo único. A retificação de que trata o caput não se enquadra no disposto no art. 7º da Lei nº 10.426, de 24 de abril de 2002.</w:t>
      </w:r>
    </w:p>
    <w:p>
      <w:r>
        <w:t>Art. 7º Esta Instrução Normativa entra em vigor na data da sua publicação.</w:t>
      </w:r>
    </w:p>
    <w:p>
      <w:r>
        <w:t>LINA MARIA VIEIRA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936, de 5 de maio de 2009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