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9.393, DE 19 DE DEZEMBRO DE 1996</w:t>
      </w:r>
    </w:p>
    <w:p>
      <w:r>
        <w:t xml:space="preserve">Dispõe sobre o Imposto sobre a Propriedade Territorial Rural - ITR, sobre pagamento da dívida representada por Títulos da Dívida Agrária e dá outras providências. </w:t>
      </w:r>
    </w:p>
    <w:p>
      <w:r>
        <w:t xml:space="preserve">O PRESIDENTE DA REPÚBLICA </w:t>
      </w:r>
    </w:p>
    <w:p>
      <w:r>
        <w:t xml:space="preserve">Faço saber que o Congresso Nacional decreta e eu sanciono a seguinte Lei: </w:t>
      </w:r>
    </w:p>
    <w:p>
      <w:r>
        <w:t>CAPÍTULO I</w:t>
      </w:r>
    </w:p>
    <w:p>
      <w:r>
        <w:t>DO IMPOSTO SOBRE A PROPRIEDADE</w:t>
      </w:r>
    </w:p>
    <w:p>
      <w:r>
        <w:t>TERRITORIAL RURAL - ITR</w:t>
      </w:r>
    </w:p>
    <w:p>
      <w:r>
        <w:t>Seção I</w:t>
      </w:r>
    </w:p>
    <w:p>
      <w:r>
        <w:t>Do Fato Gerador do ITR</w:t>
      </w:r>
    </w:p>
    <w:p>
      <w:r>
        <w:t>Definição</w:t>
      </w:r>
    </w:p>
    <w:p>
      <w:r>
        <w:t xml:space="preserve">Art. 1º O Imposto sobre a Propriedade Territorial Rural - ITR, de apuração anual, tem como fato gerador a propriedade, o domínio útil ou a posse de imóvel por natureza, localizado fora da zona urbana do município, em 1º de janeiro de cada ano. </w:t>
      </w:r>
    </w:p>
    <w:p>
      <w:r>
        <w:t xml:space="preserve">§ 1º O ITR incide inclusive sobre o imóvel declarado de interesse social para fins de reforma agrária, enquanto não transferida a propriedade, exceto se houver imissão prévia na posse. </w:t>
      </w:r>
    </w:p>
    <w:p>
      <w:r>
        <w:t xml:space="preserve">§ 2º Para os efeitos desta Lei, considera-se imóvel rural a área contínua, formada de uma ou mais parcelas de terras, localizada na zona rural do município. </w:t>
      </w:r>
    </w:p>
    <w:p>
      <w:r>
        <w:t xml:space="preserve">§ 3º O imóvel que pertencer a mais de um município deverá ser enquadrado no município onde fique a sede do imóvel e, se esta não existir, será enquadrado no município onde se localize a maior parte do imóvel. </w:t>
      </w:r>
    </w:p>
    <w:p>
      <w:r>
        <w:t>Imunidade</w:t>
      </w:r>
    </w:p>
    <w:p>
      <w:r>
        <w:t xml:space="preserve">Art. 2º Nos termos do art. 153, § 4º, </w:t>
      </w:r>
      <w:r>
        <w:t>in fine</w:t>
      </w:r>
      <w:r>
        <w:t xml:space="preserve"> da Constituição, o imposto não incide sobre pequenas glebas rurais, quando as explore, só ou com sua família, o proprietário que não possua outro imóvel. </w:t>
      </w:r>
    </w:p>
    <w:p>
      <w:r>
        <w:t xml:space="preserve">Parágrafo único. Para os efeitos deste artigo, pequenas glebas rurais são os imóveis com área igual ou inferior a: </w:t>
      </w:r>
    </w:p>
    <w:p>
      <w:r>
        <w:t xml:space="preserve">I - 100 ha, se localizado em município compreendido na Amazônia Ocidental ou no Pantanal mato-grossense e sul-mato-grossense; </w:t>
      </w:r>
    </w:p>
    <w:p>
      <w:r>
        <w:t xml:space="preserve">II - 50 ha, se localizado em município compreendido no Polígono das Secas ou na Amazônia Oriental; </w:t>
      </w:r>
    </w:p>
    <w:p>
      <w:r>
        <w:t xml:space="preserve">III - 30 ha, se localizado em qualquer outro município. </w:t>
      </w:r>
    </w:p>
    <w:p>
      <w:r>
        <w:t>Seção II</w:t>
      </w:r>
    </w:p>
    <w:p>
      <w:r>
        <w:t>Da Isenção</w:t>
      </w:r>
    </w:p>
    <w:p>
      <w:r>
        <w:t xml:space="preserve">Art. 3º São isentos do imposto: </w:t>
      </w:r>
    </w:p>
    <w:p>
      <w:r>
        <w:t xml:space="preserve">I - o imóvel rural compreendido em programa oficial de reforma agrária, caracterizado pelas autoridades competentes como assentamento, que, cumulativamente, atenda aos seguintes requisitos: </w:t>
      </w:r>
    </w:p>
    <w:p>
      <w:r>
        <w:t>a) seja explorado por associação ou cooperativa de produção;</w:t>
      </w:r>
      <w:r>
        <w:t xml:space="preserve">  </w:t>
      </w:r>
    </w:p>
    <w:p>
      <w:r>
        <w:t xml:space="preserve">b) a fração ideal por família assentada não ultrapasse os limites estabelecidos no artigo anterior; </w:t>
      </w:r>
    </w:p>
    <w:p>
      <w:r>
        <w:t>c) o assentado não possua outro imóvel.</w:t>
      </w:r>
      <w:r>
        <w:t xml:space="preserve">  </w:t>
      </w:r>
    </w:p>
    <w:p>
      <w:r>
        <w:t xml:space="preserve">II - o conjunto de imóveis rurais de um mesmo proprietário, cuja área total observe os limites fixados no parágrafo único do artigo anterior, desde que, cumulativamente, o proprietário: </w:t>
      </w:r>
    </w:p>
    <w:p>
      <w:r>
        <w:t xml:space="preserve">a) o explore só ou com sua família, admitida ajuda eventual de terceiros; </w:t>
      </w:r>
    </w:p>
    <w:p>
      <w:r>
        <w:t xml:space="preserve">b) não possua imóvel urbano. </w:t>
      </w:r>
    </w:p>
    <w:p>
      <w:r>
        <w:t>Art. 3</w:t>
      </w:r>
      <w:r>
        <w:t>º</w:t>
      </w:r>
      <w:r>
        <w:t>-A. Os imóveis rurais oficialmente reconhecidos como</w:t>
      </w:r>
      <w:r>
        <w:t xml:space="preserve"> </w:t>
      </w:r>
      <w:r>
        <w:t>áreas ocupadas por remanescentes de comunidades de quilombos</w:t>
      </w:r>
      <w:r>
        <w:t xml:space="preserve"> </w:t>
      </w:r>
      <w:r>
        <w:t>que estejam sob a ocupação direta e sejam explorados, individual</w:t>
      </w:r>
      <w:r>
        <w:t xml:space="preserve"> </w:t>
      </w:r>
      <w:r>
        <w:t>ou coletivamente, pelos membros destas comunidades são isentos</w:t>
      </w:r>
      <w:r>
        <w:t xml:space="preserve"> </w:t>
      </w:r>
      <w:r>
        <w:t>do Imposto sobre a Propriedade Territorial Rural - ITR.</w:t>
      </w:r>
    </w:p>
    <w:p>
      <w:r>
        <w:t>§ 1º</w:t>
      </w:r>
      <w:r>
        <w:t xml:space="preserve"> Ficam dispensados a constituição de créditos da Fazenda</w:t>
      </w:r>
      <w:r>
        <w:t xml:space="preserve"> </w:t>
      </w:r>
      <w:r>
        <w:t>Nacional, a inscrição na Dívida Ativa da União e o ajuizamento</w:t>
      </w:r>
      <w:r>
        <w:t xml:space="preserve"> </w:t>
      </w:r>
      <w:r>
        <w:t>da respectiva execução fiscal, e cancelados o lançamento e a inscrição</w:t>
      </w:r>
      <w:r>
        <w:t xml:space="preserve"> </w:t>
      </w:r>
      <w:r>
        <w:t>relativos ao ITR referentes aos imóveis rurais de que trata</w:t>
      </w:r>
      <w:r>
        <w:t xml:space="preserve"> </w:t>
      </w:r>
      <w:r>
        <w:t xml:space="preserve">o </w:t>
      </w:r>
      <w:r>
        <w:t>caput</w:t>
      </w:r>
      <w:r>
        <w:t xml:space="preserve"> a partir da data do registro do título de domínio previsto</w:t>
      </w:r>
      <w:r>
        <w:t xml:space="preserve"> </w:t>
      </w:r>
      <w:r>
        <w:t>no art. 68 do Ato das Disposições Constitucionais Transitórias.</w:t>
      </w:r>
    </w:p>
    <w:p>
      <w:r>
        <w:t>§ 2º</w:t>
      </w:r>
      <w:r>
        <w:t xml:space="preserve"> Observada a data prevista no § 1</w:t>
      </w:r>
      <w:r>
        <w:t>º</w:t>
      </w:r>
      <w:r>
        <w:t>, não serão aplicadas</w:t>
      </w:r>
      <w:r>
        <w:t xml:space="preserve"> </w:t>
      </w:r>
      <w:r>
        <w:t>as penalidades estabelecidas nos arts. 7</w:t>
      </w:r>
      <w:r>
        <w:t>º</w:t>
      </w:r>
      <w:r>
        <w:t xml:space="preserve"> e </w:t>
      </w:r>
      <w:r>
        <w:t>9</w:t>
      </w:r>
      <w:r>
        <w:t>º</w:t>
      </w:r>
      <w:r>
        <w:t xml:space="preserve"> para fatos geradores</w:t>
      </w:r>
      <w:r>
        <w:t xml:space="preserve"> </w:t>
      </w:r>
      <w:r>
        <w:t>ocorridos até a data de publicação da lei decorrente da conversão</w:t>
      </w:r>
      <w:r>
        <w:t xml:space="preserve"> </w:t>
      </w:r>
      <w:r>
        <w:t>da Medida Provisória n</w:t>
      </w:r>
      <w:r>
        <w:t>º</w:t>
      </w:r>
      <w:r>
        <w:t xml:space="preserve"> 651, de 9 de julho de 2014, e ficam</w:t>
      </w:r>
      <w:r>
        <w:t xml:space="preserve"> </w:t>
      </w:r>
      <w:r>
        <w:t>anistiados os valores decorrentes de multas lançadas pela apresentação</w:t>
      </w:r>
      <w:r>
        <w:t xml:space="preserve"> </w:t>
      </w:r>
      <w:r>
        <w:t>da d</w:t>
      </w:r>
      <w:r>
        <w:t xml:space="preserve">eclaração do ITR fora do prazo. </w:t>
      </w:r>
      <w:r>
        <w:t>(Artigo acrescido pela Lei nº 13.043, de 13/11/2014, em vigor a partir de 1º de janeiro de 2015)</w:t>
      </w:r>
    </w:p>
    <w:p>
      <w:r>
        <w:t>Seção III</w:t>
      </w:r>
    </w:p>
    <w:p>
      <w:r>
        <w:t>Do Contribuinte e do Responsável</w:t>
      </w:r>
    </w:p>
    <w:p>
      <w:r>
        <w:t>Contribuinte</w:t>
      </w:r>
    </w:p>
    <w:p>
      <w:r>
        <w:t xml:space="preserve">Art. 4º Contribuinte do ITR é o proprietário de imóvel rural, o titular de seu domínio útil ou o seu possuidor a qualquer título. </w:t>
      </w:r>
    </w:p>
    <w:p>
      <w:r>
        <w:t xml:space="preserve">Parágrafo único. O domicílio tributário do contribuinte é o município de localização do imóvel, vedada a eleição de qualquer outro. </w:t>
      </w:r>
    </w:p>
    <w:p>
      <w:r>
        <w:t>Responsável</w:t>
      </w:r>
    </w:p>
    <w:p>
      <w:r>
        <w:t xml:space="preserve">Art. 5º É responsável pelo crédito tributário o sucessor, a qualquer título, nos termos dos arts. 128 a 133 da Lei nº 5.172, de 25 de outubro de 1966 (Sistema Tributário Nacional). </w:t>
      </w:r>
    </w:p>
    <w:p>
      <w:r>
        <w:t>Seção IV</w:t>
      </w:r>
    </w:p>
    <w:p>
      <w:r>
        <w:t>Das Informações Cadastrais</w:t>
      </w:r>
    </w:p>
    <w:p>
      <w:r>
        <w:t>Entrega do DIAC</w:t>
      </w:r>
    </w:p>
    <w:p>
      <w:r>
        <w:t xml:space="preserve">Art. 6º O contribuinte ou o seu sucessor comunicará ao órgão local da Secretaria da Receita Federal (SRF), por meio do Documento de Informação e Atualização Cadastral do ITR - DIAC, as informações cadastrais correspondentes a cada imóvel, bem como qualquer alteração ocorrida, na forma estabelecida pela Secretaria da Receita Federal. </w:t>
      </w:r>
    </w:p>
    <w:p>
      <w:r>
        <w:t xml:space="preserve">§ 1º É obrigatória, no prazo de sessenta dias, contado de sua ocorrência, a comunicação das seguintes alterações: </w:t>
      </w:r>
    </w:p>
    <w:p>
      <w:r>
        <w:t xml:space="preserve">I - desmembramento; </w:t>
      </w:r>
    </w:p>
    <w:p>
      <w:r>
        <w:t xml:space="preserve">II - anexação; </w:t>
      </w:r>
    </w:p>
    <w:p>
      <w:r>
        <w:t xml:space="preserve">III - transmissão, por alienação da propriedade ou dos direitos a ela inerentes, a qualquer título; </w:t>
      </w:r>
    </w:p>
    <w:p>
      <w:r>
        <w:t xml:space="preserve">IV - sucessão </w:t>
      </w:r>
      <w:r>
        <w:t>causa mortis</w:t>
      </w:r>
      <w:r>
        <w:t xml:space="preserve">; </w:t>
      </w:r>
    </w:p>
    <w:p>
      <w:r>
        <w:t xml:space="preserve">V - cessão de direitos; </w:t>
      </w:r>
    </w:p>
    <w:p>
      <w:r>
        <w:t xml:space="preserve">VI - constituição de reservas ou usufruto. </w:t>
      </w:r>
    </w:p>
    <w:p>
      <w:r>
        <w:t xml:space="preserve">§ 2º As informações cadastrais integrarão o Cadastro de Imóveis Rurais - CAFIR, administrado pela Secretaria da Receita Federal, que poderá, a qualquer tempo, solicitar informações visando à sua atualização. </w:t>
      </w:r>
    </w:p>
    <w:p>
      <w:r>
        <w:t xml:space="preserve">§ 3º Sem prejuízo do disposto no parágrafo único do art. 4º, o contribuinte poderá indicar no DIAC, somente para fins de intimação, endereço diferente daquele constante do domicílio tributário, que valerá para esse efeito até ulterior alteração. </w:t>
      </w:r>
    </w:p>
    <w:p>
      <w:r>
        <w:t>Entrega do DIAC Fora do Prazo</w:t>
      </w:r>
    </w:p>
    <w:p>
      <w:r>
        <w:t xml:space="preserve">Art. 7º No caso de apresentação espontânea do DIAC fora do prazo estabelecido pela Secretaria da Receita Federal, será cobrada multa de 1% (um por cento) ao mês ou fração sobre o imposto devido não inferior a R$50,00 (cinqüenta reais), sem prejuízo da multa e dos juros de mora pela falta ou insuficiência de recolhimento do imposto ou quota. </w:t>
      </w:r>
    </w:p>
    <w:p>
      <w:r>
        <w:t>Seção V</w:t>
      </w:r>
    </w:p>
    <w:p>
      <w:r>
        <w:t>Da Declaração Anual</w:t>
      </w:r>
    </w:p>
    <w:p>
      <w:r>
        <w:t xml:space="preserve">Art. 8º O contribuinte do ITR entregará, obrigatoriamente, em cada ano, o Documento de Informação e Apuração do ITR - DIAT, correspondente a cada imóvel, observadas data e condições fixadas pela Secretaria da Receita Federal. </w:t>
      </w:r>
    </w:p>
    <w:p>
      <w:r>
        <w:t xml:space="preserve">§ 1º O contribuinte declarará, no DIAT, o Valor da Terra Nua - VTN correspondente ao imóvel. </w:t>
      </w:r>
    </w:p>
    <w:p>
      <w:r>
        <w:t xml:space="preserve">§ 2º O VTN refletirá o preço de mercado de terras, apurado em 1º de janeiro do ano a que se referir o DIAT, e será considerado auto-avaliação da terra nua a preço de mercado. </w:t>
      </w:r>
    </w:p>
    <w:p>
      <w:r>
        <w:t>§ 3</w:t>
      </w:r>
      <w:r>
        <w:t>º</w:t>
      </w:r>
      <w:r>
        <w:t xml:space="preserve"> O contribuinte cujo imóvel se enquadre nas hipóteses</w:t>
      </w:r>
      <w:r>
        <w:t xml:space="preserve"> </w:t>
      </w:r>
      <w:r>
        <w:t>estabelecidas nos arts. 2</w:t>
      </w:r>
      <w:r>
        <w:t>º</w:t>
      </w:r>
      <w:r>
        <w:t>,</w:t>
      </w:r>
      <w:r>
        <w:t xml:space="preserve"> </w:t>
      </w:r>
      <w:r>
        <w:t>3</w:t>
      </w:r>
      <w:r>
        <w:t>º</w:t>
      </w:r>
      <w:r>
        <w:t xml:space="preserve"> e 3</w:t>
      </w:r>
      <w:r>
        <w:t>º</w:t>
      </w:r>
      <w:r>
        <w:t>-A fica dispensado da apresentação</w:t>
      </w:r>
      <w:r>
        <w:t xml:space="preserve"> do DIAT. </w:t>
      </w:r>
      <w:r>
        <w:t>(Parágrafo com redação dada pela Lei nº 13.043, de 13/11/2014, em vigor a partir de 1º de janeiro de 2015)</w:t>
      </w:r>
    </w:p>
    <w:p>
      <w:r>
        <w:t>Entrega do DIAT Fora do Prazo</w:t>
      </w:r>
    </w:p>
    <w:p>
      <w:r>
        <w:t xml:space="preserve">Art. 9º A entrega do DIAT fora do prazo estabelecido sujeitará o contribuinte à multa de que trata o art. 7º, sem prejuízo da multa e dos juros de mora pela falta ou insuficiência de recolhimento do imposto ou quota. </w:t>
      </w:r>
    </w:p>
    <w:p>
      <w:r>
        <w:t>Seção VI</w:t>
      </w:r>
    </w:p>
    <w:p>
      <w:r>
        <w:t>Da Apuração e do Pagamento</w:t>
      </w:r>
    </w:p>
    <w:p>
      <w:r>
        <w:t>Subseção I</w:t>
      </w:r>
    </w:p>
    <w:p>
      <w:r>
        <w:t>Da Apuração</w:t>
      </w:r>
    </w:p>
    <w:p>
      <w:r>
        <w:t>Apuração pelo contribuinte</w:t>
      </w:r>
    </w:p>
    <w:p>
      <w:r>
        <w:t xml:space="preserve">Art. 10. A apuração e o pagamento do ITR serão efetuados pelo contribuinte, independentemente de prévio procedimento da administração tributária, nos prazos e condições estabelecidos pela Secretaria da Receita Federal, sujeitando-se a homologação posterior. </w:t>
      </w:r>
    </w:p>
    <w:p>
      <w:r>
        <w:t xml:space="preserve">§ 1º Para os efeitos de apuração do ITR, considerar-se-á: </w:t>
      </w:r>
    </w:p>
    <w:p>
      <w:r>
        <w:t xml:space="preserve">I - VTN, o valor do imóvel excluídos os valores relativos a: </w:t>
      </w:r>
    </w:p>
    <w:p>
      <w:r>
        <w:t>a) construções, instalações e benfeitorias;</w:t>
      </w:r>
    </w:p>
    <w:p>
      <w:r>
        <w:t>b) culturas permanentes e temporárias;</w:t>
      </w:r>
    </w:p>
    <w:p>
      <w:r>
        <w:t>c) pastagens cultivadas e melhoradas;</w:t>
      </w:r>
    </w:p>
    <w:p>
      <w:r>
        <w:t>d) florestas plantadas;</w:t>
      </w:r>
    </w:p>
    <w:p>
      <w:r>
        <w:t xml:space="preserve">II - área tributável, a área total do imóvel, menos as áreas: </w:t>
      </w:r>
    </w:p>
    <w:p>
      <w:r>
        <w:t>a) de preservação permanente e de reserva legal, previstas na Lei nº 12.651, de 25 de maio de 2012;</w:t>
      </w:r>
      <w:r>
        <w:t xml:space="preserve"> </w:t>
      </w:r>
      <w:r>
        <w:t>(Alínea com redação dada pela Lei nº 12.844, de 19/7/2013, aplicando-se aos fatos geradores ocorridos a partir de 1º de janeiro de 2013)</w:t>
      </w:r>
    </w:p>
    <w:p>
      <w:r>
        <w:t>b) de interesse ecológico para a proteção dos ecossistemas, assim declaradas mediante ato do órgão competente, federal ou estadual, e que ampliem as restrições de uso previstas na alínea anterior;</w:t>
      </w:r>
    </w:p>
    <w:p>
      <w:r>
        <w:t>c) comprovadamente imprestáveis para qualquer exploração agrícola, pecuária, granjeira, aqüícola ou florestal, declaradas de interesse ecológico mediante ato do órgão competente, federal ou estadual;</w:t>
      </w:r>
    </w:p>
    <w:p>
      <w:r>
        <w:t xml:space="preserve">d) sob regime de servidão ambiental; </w:t>
      </w:r>
      <w:r>
        <w:t>(Alínea acrescida pela Lei nº 11.428, de 22/12/2006,</w:t>
      </w:r>
      <w:r>
        <w:t xml:space="preserve"> e </w:t>
      </w:r>
      <w:r>
        <w:t>com redação dada pela Lei nº 12.651, de 25/5/2012)</w:t>
      </w:r>
    </w:p>
    <w:p>
      <w:r>
        <w:t xml:space="preserve">e) cobertas por florestas nativas, primárias ou secundárias em estágio médio ou avançado de regeneração; </w:t>
      </w:r>
      <w:r>
        <w:t>(Alínea acrescida pela Lei nº 11.428, de 22/12/2006)</w:t>
      </w:r>
    </w:p>
    <w:p>
      <w:r>
        <w:t>f) alagadas para fins de constituição de reservatório de usinas hidrelétricas autorizada pelo poder público.</w:t>
      </w:r>
      <w:r>
        <w:t xml:space="preserve"> </w:t>
      </w:r>
      <w:r>
        <w:t>(Alínea acrescida pela Lei nº 11.727, de 23/6/2008)</w:t>
      </w:r>
    </w:p>
    <w:p>
      <w:r>
        <w:t xml:space="preserve">III - VTNt, o valor da terra nua tributável, obtido pela multiplicação do VTN pelo quociente entre a área tributável e a área total; </w:t>
      </w:r>
    </w:p>
    <w:p>
      <w:r>
        <w:t xml:space="preserve">IV - área aproveitável, a que for passível de exploração agrícola, pecuária, granjeira, aqüícola ou florestal, excluídas as áreas: </w:t>
      </w:r>
    </w:p>
    <w:p>
      <w:r>
        <w:t>a) ocupadas por benfeitorias úteis e necessárias;</w:t>
      </w:r>
      <w:r>
        <w:t xml:space="preserve">  </w:t>
      </w:r>
    </w:p>
    <w:p>
      <w:r>
        <w:t xml:space="preserve">b) de que tratam as alíneas do inciso II deste parágrafo; </w:t>
      </w:r>
      <w:r>
        <w:t>(Alínea com redação dada pela Lei nº 11.428, de 22/12/2006)</w:t>
      </w:r>
    </w:p>
    <w:p>
      <w:r>
        <w:t xml:space="preserve">V - área efetivamente utilizada, a porção do imóvel que no ano anterior tenha: </w:t>
      </w:r>
    </w:p>
    <w:p>
      <w:r>
        <w:t>a) sido plantada com produtos vegetais;</w:t>
      </w:r>
      <w:r>
        <w:t xml:space="preserve">  </w:t>
      </w:r>
    </w:p>
    <w:p>
      <w:r>
        <w:t>b) servido de pastagem, nativa ou plantada, observados índices de lotação por zona de pecuária;</w:t>
      </w:r>
      <w:r>
        <w:t xml:space="preserve">  </w:t>
      </w:r>
    </w:p>
    <w:p>
      <w:r>
        <w:t>c) sido objeto de exploração extrativa, observados os índices de rendimento por produto e a legislação ambiental;</w:t>
      </w:r>
      <w:r>
        <w:t xml:space="preserve">  </w:t>
      </w:r>
    </w:p>
    <w:p>
      <w:r>
        <w:t>d) servido para exploração de atividades granjeira e aqüícola;</w:t>
      </w:r>
      <w:r>
        <w:t xml:space="preserve">  </w:t>
      </w:r>
    </w:p>
    <w:p>
      <w:r>
        <w:t>e) sido o objeto de implantação de projeto técnico, nos termos do art. 7º da Lei nº 8.629, de 25 de fevereiro de 1993;</w:t>
      </w:r>
      <w:r>
        <w:t xml:space="preserve">  </w:t>
      </w:r>
    </w:p>
    <w:p>
      <w:r>
        <w:t xml:space="preserve">VI - Grau de Utilização - GU, a relação percentual entre a área efetivamente utilizada e a área aproveitável. </w:t>
      </w:r>
    </w:p>
    <w:p>
      <w:r>
        <w:t xml:space="preserve">§ 2º As informações que permitam determinar o GU deverão constar do DIAT. </w:t>
      </w:r>
    </w:p>
    <w:p>
      <w:r>
        <w:t xml:space="preserve">§ 3º Os índices a que se referem as alíneas </w:t>
      </w:r>
      <w:r>
        <w:t>b</w:t>
      </w:r>
      <w:r>
        <w:t xml:space="preserve"> e </w:t>
      </w:r>
      <w:r>
        <w:t>c</w:t>
      </w:r>
      <w:r>
        <w:t xml:space="preserve"> do inciso V do § 1º serão fixados, ouvido o Conselho Nacional de Política Agrícola, pela Secretaria da Receita Federal, que dispensará da sua aplicação os imóveis com área inferior a: </w:t>
      </w:r>
    </w:p>
    <w:p>
      <w:r>
        <w:t>a) 1.000 ha, se localizados em municípios compreendidos na Amazônia Ocidental ou no Pantanal mato-grossense e sul-mato-grossense;</w:t>
      </w:r>
      <w:r>
        <w:t xml:space="preserve">  </w:t>
      </w:r>
    </w:p>
    <w:p>
      <w:r>
        <w:t>b) 500 ha, se localizados em municípios compreendidos no Polígono das Secas ou na Amazônia Oriental;</w:t>
      </w:r>
      <w:r>
        <w:t xml:space="preserve">  </w:t>
      </w:r>
    </w:p>
    <w:p>
      <w:r>
        <w:t>c) 200 ha, se localizados em qualquer outro município.</w:t>
      </w:r>
      <w:r>
        <w:t xml:space="preserve">  </w:t>
      </w:r>
    </w:p>
    <w:p>
      <w:r>
        <w:t xml:space="preserve">§ 4º Para os fins do inciso V do § 1º, o contribuinte poderá valer-se dos dados sobre a área utilizada e respectiva produção, fornecidos pelo arrendatário ou parceiro, quando o imóvel, ou parte dele, estiver sendo explorado em regime de arrendamento ou parceria. </w:t>
      </w:r>
    </w:p>
    <w:p>
      <w:r>
        <w:t xml:space="preserve">§ 5º Na hipótese de que trata a alínea </w:t>
      </w:r>
      <w:r>
        <w:t>c</w:t>
      </w:r>
      <w:r>
        <w:t xml:space="preserve"> do inciso V do § 1º, será considerada a área total objeto de plano de manejo sustentado, desde que aprovado pelo órgão competente, e cujo cronograma esteja sendo cumprido pelo contribuinte. </w:t>
      </w:r>
    </w:p>
    <w:p>
      <w:r>
        <w:t xml:space="preserve">§ 6º Será considerada como efetivamente utilizada a área dos imóveis rurais que, no ano anterior, estejam: </w:t>
      </w:r>
    </w:p>
    <w:p>
      <w:r>
        <w:t xml:space="preserve">I - comprovadamente situados em área de ocorrência de calamidade pública decretada pelo Poder Público, de que resulte frustração de safras ou destruição de pastagens; </w:t>
      </w:r>
    </w:p>
    <w:p>
      <w:r>
        <w:t xml:space="preserve">II - oficialmente destinados à execução de atividades de pesquisa e experimentação que objetivem o avanço tecnológico da agricultura. </w:t>
      </w:r>
    </w:p>
    <w:p>
      <w:r>
        <w:t xml:space="preserve">§ 7º A declaração para fim de isenção do ITR relativa às áreas de que tratam as alíneas </w:t>
      </w:r>
      <w:r>
        <w:t>a</w:t>
      </w:r>
      <w:r>
        <w:t xml:space="preserve"> e </w:t>
      </w:r>
      <w:r>
        <w:t>d</w:t>
      </w:r>
      <w:r>
        <w:t xml:space="preserve"> do inciso II, § 1º, deste artigo, não está sujeita à prévia comprovação por parte do declarante, ficando o mesmo responsável pelo pagamento do imposto correspondente, com juros e multa previstos nesta Lei, caso fique comprovado que a sua declaração não é verdadeira, sem prejuízo de outras sanções aplicáveis. </w:t>
      </w:r>
      <w:r>
        <w:t>(Parágrafo acrescido pela Medida Provisória nº 2.166-67, de 24/8/2001)</w:t>
      </w:r>
    </w:p>
    <w:p>
      <w:r>
        <w:t>Valor do Imposto</w:t>
      </w:r>
    </w:p>
    <w:p>
      <w:r>
        <w:t xml:space="preserve">Art. 11. O valor do imposto será apurado aplicando-se sobre o Valor da Terra Nua Tributável - VTNt a alíquota correspondente, prevista no Anexo desta Lei, considerados a área total do imóvel e o Grau de Utilização - GU. </w:t>
      </w:r>
    </w:p>
    <w:p>
      <w:r>
        <w:t xml:space="preserve"> </w:t>
      </w:r>
      <w:r>
        <w:t xml:space="preserve">§ 1º Na hipótese de inexistir área aproveitável após efetuadas as exclusões previstas no art. 10, § 1º, inciso IV, serão aplicadas as alíquotas, correspondentes aos imóveis com grau de utilização superior a 80% (oitenta por cento), observada a área total do imóvel. </w:t>
      </w:r>
    </w:p>
    <w:p>
      <w:r>
        <w:t xml:space="preserve">§ 2º Em nenhuma hipótese o valor do imposto devido será inferior a R$10,00 (dez reais). </w:t>
      </w:r>
    </w:p>
    <w:p>
      <w:r>
        <w:t>Subseção II</w:t>
      </w:r>
    </w:p>
    <w:p>
      <w:r>
        <w:t>Do Pagamento</w:t>
      </w:r>
    </w:p>
    <w:p>
      <w:r>
        <w:t>Prazo</w:t>
      </w:r>
    </w:p>
    <w:p>
      <w:r>
        <w:t xml:space="preserve">Art. 12. O imposto deverá ser pago até o último dia útil do mês fixado para a entrega do DIAT. </w:t>
      </w:r>
    </w:p>
    <w:p>
      <w:r>
        <w:t xml:space="preserve">Parágrafo único. À opção do contribuinte, o imposto a pagar poderá ser parcelado em até três quotas iguais, mensais e consecutivas, observando-se que: </w:t>
      </w:r>
    </w:p>
    <w:p>
      <w:r>
        <w:t xml:space="preserve">I - nenhuma quota será inferior a R$50,00 (cinqüenta reais); </w:t>
      </w:r>
    </w:p>
    <w:p>
      <w:r>
        <w:t xml:space="preserve">II - a primeira quota ou quota única deverá ser paga até a data fixada no </w:t>
      </w:r>
      <w:r>
        <w:t>caput</w:t>
      </w:r>
      <w:r>
        <w:t xml:space="preserve"> ; </w:t>
      </w:r>
    </w:p>
    <w:p>
      <w:r>
        <w:t xml:space="preserve">III - as demais quotas, acrescidas de juros equivalentes à taxa referencial do Sistema de Liquidação e de Custódia (SELIC) para títulos federais, acumulada mensalmente, calculados a partir do primeiro dia do mês subseqüente à data fixada no </w:t>
      </w:r>
      <w:r>
        <w:t>caput</w:t>
      </w:r>
      <w:r>
        <w:t xml:space="preserve"> até o último dia do mês anterior ao do pagamento, e de 1% (um por cento) no mês do pagamento, vencerão no último dia útil de cada mês; </w:t>
      </w:r>
    </w:p>
    <w:p>
      <w:r>
        <w:t xml:space="preserve">IV - é facultado ao contribuinte antecipar, total ou parcialmente, o pagamento do imposto ou das quotas. </w:t>
      </w:r>
    </w:p>
    <w:p>
      <w:r>
        <w:t>Pagamento Fora do Prazo</w:t>
      </w:r>
    </w:p>
    <w:p>
      <w:r>
        <w:t xml:space="preserve">Art. 13. O pagamento do imposto fora dos prazos previstos nesta Lei será acrescido de: </w:t>
      </w:r>
    </w:p>
    <w:p>
      <w:r>
        <w:t xml:space="preserve">I - multa de mora calculada à taxa de 0,33% (zero vírgula trinta e três por cento) por dia de atraso, não podendo ultrapassar 20% (vinte por cento), calculada a partir do primeiro dia subseqüente ao do vencimento do prazo previsto para o pagamento do imposto até o dia em que ocorrer o seu pagamento. </w:t>
      </w:r>
    </w:p>
    <w:p>
      <w:r>
        <w:t xml:space="preserve">II - juros de mora calculados à taxa a que se refere o art. 12, parágrafo único, inciso III, a partir do primeiro dia do mês subseqüente ao vencimento do prazo até o mês anterior ao do pagamento, e de 1% (um por cento) no mês do pagamento. </w:t>
      </w:r>
    </w:p>
    <w:p>
      <w:r>
        <w:t>Seção VII</w:t>
      </w:r>
    </w:p>
    <w:p>
      <w:r>
        <w:t>Dos Procedimentos de Ofício</w:t>
      </w:r>
    </w:p>
    <w:p>
      <w:r>
        <w:t xml:space="preserve">Art. 14. No caso de falta de entrega do DIAC ou do DIAT, bem como de subavaliação ou prestação de informações inexatas, incorretas ou fraudulentas, a Secretaria da Receita Federal procederá à determinação e ao lançamento de ofício do imposto, considerando informações sobre preços de terras, constantes de sistema a ser por ela instituído, e os dados de área total, área tributável e grau de utilização do imóvel, apurados em procedimentos de fiscalização. </w:t>
      </w:r>
    </w:p>
    <w:p>
      <w:r>
        <w:t xml:space="preserve">§ 1º As informações sobre preços de terra observarão os critérios estabelecidos no art. 12, § 1º, inciso II da Lei nº 8.629, de 25 de fevereiro de 1993, e considerarão levantamentos realizados pelas Secretarias de Agricultura das Unidades Federadas ou dos Municípios. </w:t>
      </w:r>
    </w:p>
    <w:p>
      <w:r>
        <w:t xml:space="preserve">§ 2º As multas cobradas em virtude do disposto neste artigo serão aquelas aplicáveis aos demais tributos federais. </w:t>
      </w:r>
    </w:p>
    <w:p>
      <w:r>
        <w:t>Seção VIII</w:t>
      </w:r>
    </w:p>
    <w:p>
      <w:r>
        <w:t>Da Administração do Imposto</w:t>
      </w:r>
    </w:p>
    <w:p>
      <w:r>
        <w:t>Competência da Secretaria da Receita Federal</w:t>
      </w:r>
    </w:p>
    <w:p>
      <w:r>
        <w:t xml:space="preserve">Art. 15. Compete à Secretaria da Receita Federal a administração do ITR, incluídas as atividades de arrecadação, tributação e fiscalização. </w:t>
      </w:r>
    </w:p>
    <w:p>
      <w:r>
        <w:t xml:space="preserve">Parágrafo único. No processo administrativo fiscal, compreendendo os procedimentos destinados à determinação e exigência do imposto, imposição de penalidades, repetição de indébito e solução de consultas, bem como a compensação do imposto, observar-se-á a legislação prevista para os demais tributos federais. </w:t>
      </w:r>
    </w:p>
    <w:p>
      <w:r>
        <w:t>Convênios de Cooperação</w:t>
      </w:r>
    </w:p>
    <w:p>
      <w:r>
        <w:t xml:space="preserve">Art. 16. A Secretaria da Receita Federal poderá celebrar convênio com o Instituto Nacional de Colonização e Reforma Agrária - INCRA, com a finalidade de delegar as atividades de fiscalização das informações sobre os imóveis rurais, contidas no DIAC e no DIAT. </w:t>
      </w:r>
    </w:p>
    <w:p>
      <w:r>
        <w:t xml:space="preserve">§ 1º No exercício da delegação a que se refere este artigo, o INCRA poderá celebrar convênios de cooperação com o Instituto Brasileiro do Meio Ambiente e dos Recursos Naturais Renováveis - IBAMA, Fundação Nacional do Índio - FUNAI e Secretarias Estaduais de Agricultura. </w:t>
      </w:r>
    </w:p>
    <w:p>
      <w:r>
        <w:t xml:space="preserve">§ 2º No uso de suas atribuições, os agentes do INCRA terão acesso ao imóvel de propriedade particular, para levantamento de dados e informações. </w:t>
      </w:r>
    </w:p>
    <w:p>
      <w:r>
        <w:t xml:space="preserve">§ 3º A Secretaria da Receita Federal, com o apoio do INCRA, administrará o CAFIR e colocará as informações nele contidas à disposição daquela Autarquia, para fins de levantamento e pesquisa de dados e de proposição de ações administrativas e judiciais. </w:t>
      </w:r>
      <w:r>
        <w:t>(Parágrafo com redação dada pela Lei nº 10.267, de 28/8/2001)</w:t>
      </w:r>
    </w:p>
    <w:p>
      <w:r>
        <w:t xml:space="preserve">§ 4º Às informações a que se refere o § 3º aplica-se o disposto no art. 198 da Lei nº 5.172, de 25 de outubro de 1966. </w:t>
      </w:r>
      <w:r>
        <w:t>(Parágrafo com redação dada pela Lei nº 10.267, de 28/8/2001)</w:t>
      </w:r>
    </w:p>
    <w:p>
      <w:r>
        <w:t xml:space="preserve">Art. 17. A Secretaria da Receita Federal poderá, também, celebrar convênios com: </w:t>
      </w:r>
    </w:p>
    <w:p>
      <w:r>
        <w:t xml:space="preserve">I - órgãos da administração tributária das unidades federadas, visando delegar competência para a cobrança e o lançamento do ITR; </w:t>
      </w:r>
    </w:p>
    <w:p>
      <w:r>
        <w:t xml:space="preserve">II - a Confederação Nacional da Agricultura - CNA e a Confederação Nacional dos Trabalhadores na Agricultura - CONTAG, com a finalidade de fornecer dados cadastrais de imóveis rurais que possibilitem a cobrança das contribuições sindicais devidas àquelas entidades. </w:t>
      </w:r>
    </w:p>
    <w:p>
      <w:r>
        <w:t>Seção IX</w:t>
      </w:r>
    </w:p>
    <w:p>
      <w:r>
        <w:t>Das Disposições Gerais</w:t>
      </w:r>
    </w:p>
    <w:p>
      <w:r>
        <w:t>Dívida Ativa - Penhora ou Arresto</w:t>
      </w:r>
    </w:p>
    <w:p>
      <w:r>
        <w:t xml:space="preserve">Art. 18. Na execução de dívida ativa, decorrente de crédito tributário do ITR na hipótese de penhora ou arresto de bens, previstos no art. 11 da Lei nº 6.830, de 22 de setembro de 1980, será penhorado ou arrestado, preferencialmente, imóvel rural, não tendo recaído a penhora ou o arresto sobre dinheiro. </w:t>
      </w:r>
    </w:p>
    <w:p>
      <w:r>
        <w:t xml:space="preserve">§ 1º No caso do imóvel rural penhorado ou arrestado, na lavratura do termo ou auto de penhora, deverá ser observado, para efeito de avaliação, o VTN declarado e o disposto no art. 14. </w:t>
      </w:r>
    </w:p>
    <w:p>
      <w:r>
        <w:t xml:space="preserve">§ 2º A Fazenda Pública poderá, ouvido o INCRA, adjudicar, para fins fundiários, o imóvel rural penhorado, se a execução não for embargada ou se rejeitados os embargos. </w:t>
      </w:r>
    </w:p>
    <w:p>
      <w:r>
        <w:t xml:space="preserve">§ 3º O depósito da diferença de que trata o parágrafo único do art. 24 da Lei nº 6.830, de 22 de setembro de 1980, poderá ser feito em Títulos da Dívida Agrária, até o montante equivalente ao VTN declarado. </w:t>
      </w:r>
    </w:p>
    <w:p>
      <w:r>
        <w:t xml:space="preserve">§ 4º Na hipótese do § 2º, o imóvel passará a integrar o patrimônio do INCRA, e a carta de adjudicação e o registro imobiliário serão expedidos em seu nome. </w:t>
      </w:r>
    </w:p>
    <w:p>
      <w:r>
        <w:t>Valores para Apuração de Ganho de Capital</w:t>
      </w:r>
    </w:p>
    <w:p>
      <w:r>
        <w:t xml:space="preserve">Art. 19. A partir do dia 1º de janeiro de 1997, para fins de apuração de ganho de capital, nos termos da legislação do imposto de renda, considera-se custo de aquisição e valor da venda do imóvel rural o VTN declarado, na forma do art. 8º, observado o disposto no art. 14, respectivamente, nos anos da ocorrência de sua aquisição e de sua alienação. </w:t>
      </w:r>
    </w:p>
    <w:p>
      <w:r>
        <w:t xml:space="preserve">Parágrafo único. Na apuração de ganho de capital correspondente a imóvel rural adquirido anteriormente à data a que se refere este artigo, será considerado custo de aquisição o valor constante da escritura pública, observado o disposto no art. 17 da Lei nº 9.249, de 26 de dezembro de 1995. </w:t>
      </w:r>
    </w:p>
    <w:p>
      <w:r>
        <w:t>Incentivos Fiscais e Crédito Rural</w:t>
      </w:r>
    </w:p>
    <w:p>
      <w:r>
        <w:t xml:space="preserve">Art. 20. A concessão de incentivos fiscais e de crédito rural, em todas as suas modalidades, bem como a constituição das respectivas contrapartidas ou garantias, ficam condicionadas à comprovação do recolhimento do ITR relativo ao imóvel rural correspondente aos últimos cinco exercícios, ressalvados os casos em que a exigibilidade do imposto esteja suspensa, ou em curso de cobrança executiva em que tenha sido efetivada a penhora. </w:t>
      </w:r>
    </w:p>
    <w:p>
      <w:r>
        <w:t xml:space="preserve">Parágrafo único. É dispensada a comprovação de regularidade do recolhimento do imposto relativo ao imóvel rural, para efeito de concessão de financiamento ao amparo do Programa Nacional de Fortalecimento da Agricultura Familiar - PRONAF. </w:t>
      </w:r>
    </w:p>
    <w:p>
      <w:r>
        <w:t>Registro Público</w:t>
      </w:r>
    </w:p>
    <w:p>
      <w:r>
        <w:t xml:space="preserve">Art. 21. É obrigatória a comprovação do pagamento do ITR, referente aos cinco últimos exercícios, para serem praticados quaisquer dos atos previstos nos arts. 167 e 168 da Lei nº 6.015, de 31 de dezembro de 1973 (Lei dos Registros Públicos), observada a ressalva prevista no </w:t>
      </w:r>
      <w:r>
        <w:t>caput</w:t>
      </w:r>
      <w:r>
        <w:t xml:space="preserve"> do artigo anterior, </w:t>
      </w:r>
      <w:r>
        <w:t>in fine</w:t>
      </w:r>
      <w:r>
        <w:t xml:space="preserve">. </w:t>
      </w:r>
    </w:p>
    <w:p>
      <w:r>
        <w:t xml:space="preserve">Parágrafo único. São solidariamente responsáveis pelo imposto e pelos acréscimos legais, nos termos do art. 134 da Lei nº 5.172, de 25 de outubro de 1966 - Sistema Tributário Nacional, os serventuários do registro de imóveis que descumprirem o disposto neste artigo, sem prejuízo de outras sanções legais. </w:t>
      </w:r>
    </w:p>
    <w:p>
      <w:r>
        <w:t>Depósito Judicial na Desapropriação</w:t>
      </w:r>
    </w:p>
    <w:p>
      <w:r>
        <w:t xml:space="preserve">Art. 22. O valor da terra nua para fins do depósito judicial, a que se refere o inciso I do art. 6º da Lei Complementar nº 76, de 6 de julho de 1993, na hipótese de desapropriação do imóvel rural de que trata o art. 184 da Constituição, não poderá ser superior ao VTN declarado, observado o disposto no art. 14. </w:t>
      </w:r>
    </w:p>
    <w:p>
      <w:r>
        <w:t xml:space="preserve">Parágrafo único. A desapropriação por valor inferior ao declarado não autorizará a redução do imposto a ser pago, nem a restituição de quaisquer importâncias já recolhidas. </w:t>
      </w:r>
    </w:p>
    <w:p>
      <w:r>
        <w:t>CAPÍTULO II</w:t>
      </w:r>
    </w:p>
    <w:p>
      <w:r>
        <w:t>DAS DISPOSIÇÕES FINAIS</w:t>
      </w:r>
    </w:p>
    <w:p>
      <w:r>
        <w:t xml:space="preserve">Art. 23. Esta Lei entra em vigor na data de sua publicação, produzindo efeitos quanto aos arts. 1º a 22, a partir de janeiro de 1997. </w:t>
      </w:r>
    </w:p>
    <w:p>
      <w:r>
        <w:t xml:space="preserve">Art. 24. Revogam-se os arts. 1º a 22 e 25 da Lei nº 8.847, de 28 de janeiro de 1994. </w:t>
      </w:r>
    </w:p>
    <w:p>
      <w:r>
        <w:t xml:space="preserve">Brasília, 19 de dezembro de 1996; 175º da Independência e 108º da República. </w:t>
      </w:r>
    </w:p>
    <w:p>
      <w:r>
        <w:t xml:space="preserve">FERNANDO HENRIQUE CARDOSO </w:t>
      </w:r>
    </w:p>
    <w:p>
      <w:r>
        <w:t xml:space="preserve">Pedro Malan </w:t>
      </w:r>
    </w:p>
    <w:p>
      <w:r>
        <w:t xml:space="preserve">Raul Belens Jungmann Pinto </w:t>
      </w:r>
    </w:p>
    <w:p>
      <w:r>
        <w:t>ANEXO</w:t>
      </w:r>
    </w:p>
    <w:p>
      <w:r>
        <w:t>TABELA DE ALÍQUOTAS</w:t>
      </w:r>
    </w:p>
    <w:p>
      <w:r>
        <w:t>(Art.11)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Área total do imóvel(em hectares)</w:t>
            </w:r>
          </w:p>
        </w:tc>
        <w:tc>
          <w:tcPr>
            <w:tcW w:type="dxa" w:w="1440"/>
          </w:tcPr>
          <w:p>
            <w:r>
              <w:t>GRAU DE UTILIZAÇÃO - GU ( EM %)</w:t>
            </w:r>
          </w:p>
        </w:tc>
        <w:tc>
          <w:tcPr>
            <w:tcW w:type="dxa" w:w="1440"/>
          </w:tcPr>
          <w:p/>
        </w:tc>
        <w:tc>
          <w:tcPr>
            <w:tcW w:type="dxa" w:w="1440"/>
          </w:tcPr>
          <w:p/>
        </w:tc>
        <w:tc>
          <w:tcPr>
            <w:tcW w:type="dxa" w:w="1440"/>
          </w:tcPr>
          <w:p/>
        </w:tc>
        <w:tc>
          <w:tcPr>
            <w:tcW w:type="dxa" w:w="1440"/>
          </w:tcPr>
          <w:p/>
        </w:tc>
      </w:tr>
      <w:tr>
        <w:tc>
          <w:tcPr>
            <w:tcW w:type="dxa" w:w="1440"/>
          </w:tcPr>
          <w:p>
            <w:r>
              <w:t>Maior que80</w:t>
            </w:r>
          </w:p>
        </w:tc>
        <w:tc>
          <w:tcPr>
            <w:tcW w:type="dxa" w:w="1440"/>
          </w:tcPr>
          <w:p>
            <w:r>
              <w:t>Maior que65 até 80</w:t>
            </w:r>
          </w:p>
        </w:tc>
        <w:tc>
          <w:tcPr>
            <w:tcW w:type="dxa" w:w="1440"/>
          </w:tcPr>
          <w:p>
            <w:r>
              <w:t>Maior que50 até 65</w:t>
            </w:r>
          </w:p>
        </w:tc>
        <w:tc>
          <w:tcPr>
            <w:tcW w:type="dxa" w:w="1440"/>
          </w:tcPr>
          <w:p>
            <w:r>
              <w:t>Maior que30 até 50</w:t>
            </w:r>
          </w:p>
        </w:tc>
        <w:tc>
          <w:tcPr>
            <w:tcW w:type="dxa" w:w="1440"/>
          </w:tcPr>
          <w:p>
            <w:r>
              <w:t>Até 30</w:t>
            </w:r>
          </w:p>
        </w:tc>
        <w:tc>
          <w:tcPr>
            <w:tcW w:type="dxa" w:w="1440"/>
          </w:tcPr>
          <w:p/>
        </w:tc>
      </w:tr>
      <w:tr>
        <w:tc>
          <w:tcPr>
            <w:tcW w:type="dxa" w:w="1440"/>
          </w:tcPr>
          <w:p>
            <w:r>
              <w:t>Até 50</w:t>
            </w:r>
          </w:p>
        </w:tc>
        <w:tc>
          <w:tcPr>
            <w:tcW w:type="dxa" w:w="1440"/>
          </w:tcPr>
          <w:p>
            <w:r>
              <w:t>0,03</w:t>
            </w:r>
          </w:p>
        </w:tc>
        <w:tc>
          <w:tcPr>
            <w:tcW w:type="dxa" w:w="1440"/>
          </w:tcPr>
          <w:p>
            <w:r>
              <w:t>0,20</w:t>
            </w:r>
          </w:p>
        </w:tc>
        <w:tc>
          <w:tcPr>
            <w:tcW w:type="dxa" w:w="1440"/>
          </w:tcPr>
          <w:p>
            <w:r>
              <w:t>0,40</w:t>
            </w:r>
          </w:p>
        </w:tc>
        <w:tc>
          <w:tcPr>
            <w:tcW w:type="dxa" w:w="1440"/>
          </w:tcPr>
          <w:p>
            <w:r>
              <w:t>0,70</w:t>
            </w:r>
          </w:p>
        </w:tc>
        <w:tc>
          <w:tcPr>
            <w:tcW w:type="dxa" w:w="1440"/>
          </w:tcPr>
          <w:p>
            <w:r>
              <w:t>1,00</w:t>
            </w:r>
          </w:p>
        </w:tc>
      </w:tr>
      <w:tr>
        <w:tc>
          <w:tcPr>
            <w:tcW w:type="dxa" w:w="1440"/>
          </w:tcPr>
          <w:p>
            <w:r>
              <w:t>Maior que 50 até 200</w:t>
            </w:r>
          </w:p>
        </w:tc>
        <w:tc>
          <w:tcPr>
            <w:tcW w:type="dxa" w:w="1440"/>
          </w:tcPr>
          <w:p>
            <w:r>
              <w:t>0,07</w:t>
            </w:r>
          </w:p>
        </w:tc>
        <w:tc>
          <w:tcPr>
            <w:tcW w:type="dxa" w:w="1440"/>
          </w:tcPr>
          <w:p>
            <w:r>
              <w:t>0,40</w:t>
            </w:r>
          </w:p>
        </w:tc>
        <w:tc>
          <w:tcPr>
            <w:tcW w:type="dxa" w:w="1440"/>
          </w:tcPr>
          <w:p>
            <w:r>
              <w:t>0,80</w:t>
            </w:r>
          </w:p>
        </w:tc>
        <w:tc>
          <w:tcPr>
            <w:tcW w:type="dxa" w:w="1440"/>
          </w:tcPr>
          <w:p>
            <w:r>
              <w:t>1,40</w:t>
            </w:r>
          </w:p>
        </w:tc>
        <w:tc>
          <w:tcPr>
            <w:tcW w:type="dxa" w:w="1440"/>
          </w:tcPr>
          <w:p>
            <w:r>
              <w:t>2,00</w:t>
            </w:r>
          </w:p>
        </w:tc>
      </w:tr>
      <w:tr>
        <w:tc>
          <w:tcPr>
            <w:tcW w:type="dxa" w:w="1440"/>
          </w:tcPr>
          <w:p>
            <w:r>
              <w:t>Maior que 200 até 500</w:t>
            </w:r>
          </w:p>
        </w:tc>
        <w:tc>
          <w:tcPr>
            <w:tcW w:type="dxa" w:w="1440"/>
          </w:tcPr>
          <w:p>
            <w:r>
              <w:t>0,10</w:t>
            </w:r>
          </w:p>
        </w:tc>
        <w:tc>
          <w:tcPr>
            <w:tcW w:type="dxa" w:w="1440"/>
          </w:tcPr>
          <w:p>
            <w:r>
              <w:t>0,60</w:t>
            </w:r>
          </w:p>
        </w:tc>
        <w:tc>
          <w:tcPr>
            <w:tcW w:type="dxa" w:w="1440"/>
          </w:tcPr>
          <w:p>
            <w:r>
              <w:t>1,30</w:t>
            </w:r>
          </w:p>
        </w:tc>
        <w:tc>
          <w:tcPr>
            <w:tcW w:type="dxa" w:w="1440"/>
          </w:tcPr>
          <w:p>
            <w:r>
              <w:t>2,30</w:t>
            </w:r>
          </w:p>
        </w:tc>
        <w:tc>
          <w:tcPr>
            <w:tcW w:type="dxa" w:w="1440"/>
          </w:tcPr>
          <w:p>
            <w:r>
              <w:t>3,30</w:t>
            </w:r>
          </w:p>
        </w:tc>
      </w:tr>
      <w:tr>
        <w:tc>
          <w:tcPr>
            <w:tcW w:type="dxa" w:w="1440"/>
          </w:tcPr>
          <w:p>
            <w:r>
              <w:t>Maior que 500 até 1.000</w:t>
            </w:r>
          </w:p>
        </w:tc>
        <w:tc>
          <w:tcPr>
            <w:tcW w:type="dxa" w:w="1440"/>
          </w:tcPr>
          <w:p>
            <w:r>
              <w:t>0,15</w:t>
            </w:r>
          </w:p>
        </w:tc>
        <w:tc>
          <w:tcPr>
            <w:tcW w:type="dxa" w:w="1440"/>
          </w:tcPr>
          <w:p>
            <w:r>
              <w:t>0,85</w:t>
            </w:r>
          </w:p>
        </w:tc>
        <w:tc>
          <w:tcPr>
            <w:tcW w:type="dxa" w:w="1440"/>
          </w:tcPr>
          <w:p>
            <w:r>
              <w:t>1,90</w:t>
            </w:r>
          </w:p>
        </w:tc>
        <w:tc>
          <w:tcPr>
            <w:tcW w:type="dxa" w:w="1440"/>
          </w:tcPr>
          <w:p>
            <w:r>
              <w:t>3,30</w:t>
            </w:r>
          </w:p>
        </w:tc>
        <w:tc>
          <w:tcPr>
            <w:tcW w:type="dxa" w:w="1440"/>
          </w:tcPr>
          <w:p>
            <w:r>
              <w:t>4,70</w:t>
            </w:r>
          </w:p>
        </w:tc>
      </w:tr>
      <w:tr>
        <w:tc>
          <w:tcPr>
            <w:tcW w:type="dxa" w:w="1440"/>
          </w:tcPr>
          <w:p>
            <w:r>
              <w:t>Maior que 1.000 até 5.000</w:t>
            </w:r>
          </w:p>
        </w:tc>
        <w:tc>
          <w:tcPr>
            <w:tcW w:type="dxa" w:w="1440"/>
          </w:tcPr>
          <w:p>
            <w:r>
              <w:t>0,30</w:t>
            </w:r>
          </w:p>
        </w:tc>
        <w:tc>
          <w:tcPr>
            <w:tcW w:type="dxa" w:w="1440"/>
          </w:tcPr>
          <w:p>
            <w:r>
              <w:t>1,60</w:t>
            </w:r>
          </w:p>
        </w:tc>
        <w:tc>
          <w:tcPr>
            <w:tcW w:type="dxa" w:w="1440"/>
          </w:tcPr>
          <w:p>
            <w:r>
              <w:t>3,40</w:t>
            </w:r>
          </w:p>
        </w:tc>
        <w:tc>
          <w:tcPr>
            <w:tcW w:type="dxa" w:w="1440"/>
          </w:tcPr>
          <w:p>
            <w:r>
              <w:t>6,00</w:t>
            </w:r>
          </w:p>
        </w:tc>
        <w:tc>
          <w:tcPr>
            <w:tcW w:type="dxa" w:w="1440"/>
          </w:tcPr>
          <w:p>
            <w:r>
              <w:t>8,60</w:t>
            </w:r>
          </w:p>
        </w:tc>
      </w:tr>
      <w:tr>
        <w:tc>
          <w:tcPr>
            <w:tcW w:type="dxa" w:w="1440"/>
          </w:tcPr>
          <w:p>
            <w:r>
              <w:t>Acima de 5.000</w:t>
            </w:r>
          </w:p>
        </w:tc>
        <w:tc>
          <w:tcPr>
            <w:tcW w:type="dxa" w:w="1440"/>
          </w:tcPr>
          <w:p>
            <w:r>
              <w:t>0,45</w:t>
            </w:r>
          </w:p>
        </w:tc>
        <w:tc>
          <w:tcPr>
            <w:tcW w:type="dxa" w:w="1440"/>
          </w:tcPr>
          <w:p>
            <w:r>
              <w:t>3,00</w:t>
            </w:r>
          </w:p>
        </w:tc>
        <w:tc>
          <w:tcPr>
            <w:tcW w:type="dxa" w:w="1440"/>
          </w:tcPr>
          <w:p>
            <w:r>
              <w:t>6,40</w:t>
            </w:r>
          </w:p>
        </w:tc>
        <w:tc>
          <w:tcPr>
            <w:tcW w:type="dxa" w:w="1440"/>
          </w:tcPr>
          <w:p>
            <w:r>
              <w:t>12,00</w:t>
            </w:r>
          </w:p>
        </w:tc>
        <w:tc>
          <w:tcPr>
            <w:tcW w:type="dxa" w:w="1440"/>
          </w:tcPr>
          <w:p>
            <w:r>
              <w:t>20,00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IDO IMPOSTO SOBRE A PROPRIEDADETERRITORIAL RURAL - ITRSeção IDo Fato Gerador do ITRDefiniçãoArt. 1º O Imposto sobre a Propriedade Territorial Rural - ITR, de apuração anual, tem como fato gerador a propriedade, o domínio útil ou a posse de 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