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6384F" w14:textId="77777777" w:rsidR="00C346B7" w:rsidRDefault="00000000">
      <w:pPr>
        <w:pStyle w:val="Heading3"/>
      </w:pPr>
      <w:r>
        <w:t>Parecer Normativo CST nº 72 de 18/12/1979</w:t>
      </w:r>
    </w:p>
    <w:p w14:paraId="03FAE507" w14:textId="77777777" w:rsidR="00C346B7" w:rsidRDefault="00000000">
      <w:pPr>
        <w:pStyle w:val="Textbody"/>
        <w:spacing w:after="0"/>
      </w:pPr>
      <w:r>
        <w:t>Norma Federal - Publicado no DO em 20 dez 1979</w:t>
      </w:r>
    </w:p>
    <w:p w14:paraId="4B30E51B" w14:textId="77777777" w:rsidR="00C346B7" w:rsidRDefault="00C346B7">
      <w:pPr>
        <w:pStyle w:val="Textbody"/>
        <w:rPr>
          <w:shd w:val="clear" w:color="auto" w:fill="0B57D0"/>
        </w:rPr>
      </w:pPr>
    </w:p>
    <w:p w14:paraId="2DD2130D" w14:textId="77777777" w:rsidR="00C346B7" w:rsidRDefault="00000000">
      <w:pPr>
        <w:pStyle w:val="Textbody"/>
      </w:pPr>
      <w:r>
        <w:t xml:space="preserve">Interpretação dos §§ 1º e 4º do art. 2º do </w:t>
      </w:r>
      <w:hyperlink r:id="rId6" w:history="1">
        <w:r>
          <w:t>Decreto-Lei nº 1.641/78</w:t>
        </w:r>
      </w:hyperlink>
      <w:r>
        <w:t>.Data a partir da qual incide a correção monetária sobre o custo do imóvel, quando adquirido por herança, legado ou usucapião.</w:t>
      </w:r>
    </w:p>
    <w:p w14:paraId="6F31B62E" w14:textId="77777777" w:rsidR="00C346B7" w:rsidRDefault="00000000">
      <w:pPr>
        <w:pStyle w:val="Textbody"/>
        <w:spacing w:after="0"/>
      </w:pPr>
      <w:r>
        <w:t>Imposto Sobre a Renda e Proventos</w:t>
      </w:r>
      <w:r>
        <w:br/>
        <w:t>1.24.20.40 Cédula H - Rendimentos do Capital e do Trabalho não Compreendidos nas Cédulas Anteriores</w:t>
      </w:r>
    </w:p>
    <w:p w14:paraId="61270875" w14:textId="77777777" w:rsidR="00C346B7" w:rsidRDefault="00000000">
      <w:pPr>
        <w:pStyle w:val="Textbody"/>
        <w:spacing w:after="0"/>
      </w:pPr>
      <w:r>
        <w:t xml:space="preserve">1. A </w:t>
      </w:r>
      <w:hyperlink r:id="rId7" w:history="1">
        <w:r>
          <w:t>Portaria nº 80, de 1º de março de 1979</w:t>
        </w:r>
      </w:hyperlink>
      <w:r>
        <w:t xml:space="preserve">, que regulamentou dispositivos do </w:t>
      </w:r>
      <w:hyperlink r:id="rId8" w:history="1">
        <w:r>
          <w:t>Decreto-Lei nº 1.641, de 07 de dezembro de 1978</w:t>
        </w:r>
      </w:hyperlink>
      <w:r>
        <w:t>, explicitou em seu item 1 que:</w:t>
      </w:r>
    </w:p>
    <w:p w14:paraId="317C5330" w14:textId="77777777" w:rsidR="00C346B7" w:rsidRDefault="00C346B7">
      <w:pPr>
        <w:pStyle w:val="Textbody"/>
        <w:rPr>
          <w:shd w:val="clear" w:color="auto" w:fill="0B57D0"/>
        </w:rPr>
      </w:pPr>
    </w:p>
    <w:p w14:paraId="09901462" w14:textId="77777777" w:rsidR="00C346B7" w:rsidRDefault="00000000">
      <w:pPr>
        <w:pStyle w:val="Textbody"/>
      </w:pPr>
      <w:r>
        <w:t>"considera-se preço de aquisição de imóvel havido por herança, doação ou legado ou por outras formas de aquisição a título gratuito, o valor que serviu de base para o lançamento respectivo imposto de transmissão ou no caso de não ter sido o mesmo fixado, o valor de mercado à época da aquisição".</w:t>
      </w:r>
    </w:p>
    <w:p w14:paraId="776AB310" w14:textId="77777777" w:rsidR="00C346B7" w:rsidRDefault="00000000">
      <w:pPr>
        <w:pStyle w:val="Textbody"/>
      </w:pPr>
      <w:r>
        <w:t xml:space="preserve">1.1. O </w:t>
      </w:r>
      <w:hyperlink r:id="rId9" w:history="1">
        <w:r>
          <w:t>Parecer Normativo CST nº 8/79</w:t>
        </w:r>
      </w:hyperlink>
      <w:r>
        <w:t>, publicado no Diário Oficial de 16.02.1979 e retificado no DO de 28.02.79, por sua vez, após observar que, além do preço de aquisição, outros valores podem integrar o custo e por isso podem ser corrigidos com base nos coeficientes de variação das Obrigações Reajustáveis do Tesouro Nacional, afirmou que a correção do custo tem como data inicial a do pagamento das despesas a ele agregadas (item 13).1.2. Ambos os atos normativos, contudo, não estabelecem o termo inicial a partir do qual se contará a atualização monetária e o percentual de redução do montante tributável, quando a aquisição tenha sido feita por 1) herança, 2) legado ou 3) usucapião.</w:t>
      </w:r>
    </w:p>
    <w:p w14:paraId="5364673F" w14:textId="77777777" w:rsidR="00C346B7" w:rsidRDefault="00000000">
      <w:pPr>
        <w:pStyle w:val="Textbody"/>
      </w:pPr>
      <w:r>
        <w:t>2. Nos dois primeiros casos (herança e legado), pode-se indicar, com segurança, que a data de aquisição é a de abertura da sucessão, com base no que dispõe expressamente o Código Civil:</w:t>
      </w:r>
    </w:p>
    <w:p w14:paraId="4DD9AE3B" w14:textId="77777777" w:rsidR="00C346B7" w:rsidRDefault="00000000">
      <w:pPr>
        <w:pStyle w:val="Textbody"/>
      </w:pPr>
      <w:r>
        <w:t>"Art. 1.572. Aberta a sucessão, o domínio e a posse da herança transmitem-se, desde logo, aos herdeiros legítimos e testamentários".</w:t>
      </w:r>
      <w:r>
        <w:br/>
      </w:r>
      <w:r>
        <w:br/>
        <w:t>"Art. 1.692. Desde o dia da morte do testador pertence ao legatário a coisa legada, com os frutos que produzir".</w:t>
      </w:r>
    </w:p>
    <w:p w14:paraId="32FDFF2D" w14:textId="77777777" w:rsidR="00C346B7" w:rsidRDefault="00000000">
      <w:pPr>
        <w:pStyle w:val="Textbody"/>
      </w:pPr>
      <w:r>
        <w:t>2.1. Não obstante a clareza desses dispositivos, há de se reconhecer que na data em que se abriu a sucessão - a do falecimento - não há concomitante e segura mensuração do valor do patrimônio. Isto só ocorre em época posterior, através de avaliação judicial, e se reporta ao valor à data em que é ela realizada; aliás, o Supremo Tribunal Federal, na Súmula nº 113, já consagrou o entendimento de que o imposto de transmissão causa mortis incide sobre o valor do imóvel "na data da avaliação". Registre-se, entretanto, que, quando todas as partes forem capazes, o art. 1.007 do Código de Processo Civil permite que os interessados dispensem a avaliação judicial e atribuam valores aos bens, devendo o representante da Fazenda Pública interessada manifestar sua concordância para efeito de ser fixada a base de cálculo do imposto de transmissão.</w:t>
      </w:r>
    </w:p>
    <w:p w14:paraId="553330D8" w14:textId="77777777" w:rsidR="00C346B7" w:rsidRDefault="00000000">
      <w:pPr>
        <w:pStyle w:val="Textbody"/>
      </w:pPr>
      <w:r>
        <w:t xml:space="preserve">2.2. Por essa razão, estando atualizado o valor do imóvel no laudo do perito judicial ou por ocasião da concordância do representante da Fazenda, como acima exposto, a correção monetária posterior </w:t>
      </w:r>
      <w:r>
        <w:lastRenderedPageBreak/>
        <w:t>deve ser feita tomando-se por base a variação das ORTN's a partir dessas datas - da avaliação judicial, num caso; da concordância da Fazenda Pública com a estimativa aprovada pelas partes, no outro.</w:t>
      </w:r>
    </w:p>
    <w:p w14:paraId="27E5C3F5" w14:textId="77777777" w:rsidR="00C346B7" w:rsidRDefault="00000000">
      <w:pPr>
        <w:pStyle w:val="Textbody"/>
      </w:pPr>
      <w:r>
        <w:t>3. Se o móvel tiver sido adquirido por usucapião, duas hipóteses devem ser analisadas.</w:t>
      </w:r>
    </w:p>
    <w:p w14:paraId="349B60A7" w14:textId="77777777" w:rsidR="00C346B7" w:rsidRDefault="00000000">
      <w:pPr>
        <w:pStyle w:val="Textbody"/>
      </w:pPr>
      <w:r>
        <w:t>3.1. Tratando-se de usucapião extraordinário, considerar-se-á como data de aquisição aquela em que se tiver configurado, em processo regular, a prescrição aquisitiva, ou seja, a data em que se tenha consumado o prazo de vinte anos de posse ininterrupta, mansa e pacífica, com ânimo rem sibi habendi (art. 550 do Cód. Civil), adotando-se como custo de aquisição o valor que tiver servido de base de cálculo ao imposto de transmissão "inter vivos", na data em que a Fazenda Pública houver se manifestado, daí se iniciando a atualização monetária, pela mesma razão já exposta no subitem 2.2, observando-se, ainda quando for o caso, o contido no item 13 do PN CST nº 8/79.</w:t>
      </w:r>
    </w:p>
    <w:p w14:paraId="47D7A78E" w14:textId="77777777" w:rsidR="00C346B7" w:rsidRDefault="00000000">
      <w:pPr>
        <w:pStyle w:val="Textbody"/>
      </w:pPr>
      <w:r>
        <w:t>3.2. Se a aquisição se der por usucapião ordinário, nenhuma dificuldade haverá para identificar a data e o custo de aquisição, uma vez que entre os seus requisitos estão a existência de justo título e a posse contínua e incontestada por dez anos entre presentes ou quinze entre ausentes (art. 551 do Cód. Civil), circunstância que impede o enquadramento da alienação entre as hipóteses previstas no DL nº 1.641, pelo simples decurso do tempo.</w:t>
      </w:r>
    </w:p>
    <w:p w14:paraId="3743D7F7" w14:textId="77777777" w:rsidR="00C346B7" w:rsidRDefault="00000000">
      <w:pPr>
        <w:pStyle w:val="Textbody"/>
      </w:pPr>
      <w:r>
        <w:t>4. Quanto ao percentual de redução do montante tributável, previsto no § 4º do art. 2º do DL nº 1.641, será ele aplicável, à proporção de 10% por ano completo, a contar da data de aquisição do imóvel.</w:t>
      </w:r>
    </w:p>
    <w:p w14:paraId="40C0EF5B" w14:textId="77777777" w:rsidR="00C346B7" w:rsidRDefault="00000000">
      <w:pPr>
        <w:pStyle w:val="Textbody"/>
      </w:pPr>
      <w:r>
        <w:t>À consideração superior.</w:t>
      </w:r>
    </w:p>
    <w:p w14:paraId="44AB3A9E" w14:textId="77777777" w:rsidR="00C346B7" w:rsidRDefault="00000000">
      <w:pPr>
        <w:pStyle w:val="Textbody"/>
      </w:pPr>
      <w:r>
        <w:t>CST, 18 de dezembro de 1979.</w:t>
      </w:r>
    </w:p>
    <w:p w14:paraId="77F4A0F4" w14:textId="77777777" w:rsidR="00C346B7" w:rsidRDefault="00000000">
      <w:pPr>
        <w:pStyle w:val="Textbody"/>
      </w:pPr>
      <w:r>
        <w:t>Carlos Ervino Gulyas - Fiscal de Tributos Federais</w:t>
      </w:r>
    </w:p>
    <w:p w14:paraId="7ECF9D82" w14:textId="77777777" w:rsidR="00C346B7" w:rsidRDefault="00C346B7">
      <w:pPr>
        <w:pStyle w:val="Standard"/>
      </w:pPr>
    </w:p>
    <w:sectPr w:rsidR="00C346B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A65BF" w14:textId="77777777" w:rsidR="001B3E5E" w:rsidRDefault="001B3E5E">
      <w:r>
        <w:separator/>
      </w:r>
    </w:p>
  </w:endnote>
  <w:endnote w:type="continuationSeparator" w:id="0">
    <w:p w14:paraId="4C68741E" w14:textId="77777777" w:rsidR="001B3E5E" w:rsidRDefault="001B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4F3A9" w14:textId="77777777" w:rsidR="001B3E5E" w:rsidRDefault="001B3E5E">
      <w:r>
        <w:rPr>
          <w:color w:val="000000"/>
        </w:rPr>
        <w:separator/>
      </w:r>
    </w:p>
  </w:footnote>
  <w:footnote w:type="continuationSeparator" w:id="0">
    <w:p w14:paraId="01A37312" w14:textId="77777777" w:rsidR="001B3E5E" w:rsidRDefault="001B3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346B7"/>
    <w:rsid w:val="00146ADB"/>
    <w:rsid w:val="001B3E5E"/>
    <w:rsid w:val="005E3DAD"/>
    <w:rsid w:val="00C3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C2E7"/>
  <w15:docId w15:val="{64BDAA89-BEBC-494A-A01B-CBFCB0A0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s">
    <w:name w:val="in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masbrasil.com.br/norma/decreto-lei-1641-1978_62998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ormasbrasil.com.br/norma/portaria-80-1979_38283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ormasbrasil.com.br/norma/decreto-lei-1641-1978_62998.htm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normasbrasil.com.br/norma/parecer-normativo-8-1979_9262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Seiti De Oliveira</dc:creator>
  <cp:lastModifiedBy>Eduardo Seiti De Oliveira</cp:lastModifiedBy>
  <cp:revision>2</cp:revision>
  <dcterms:created xsi:type="dcterms:W3CDTF">2026-10-06T21:00:00Z</dcterms:created>
  <dcterms:modified xsi:type="dcterms:W3CDTF">2026-10-06T21:00:00Z</dcterms:modified>
</cp:coreProperties>
</file>