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Normativo CST nº 10, de 17 de abril de 1991</w:t>
      </w:r>
    </w:p>
    <w:p>
      <w:r>
        <w:t>O ato não possui ementa. Ver íntegra</w:t>
      </w:r>
    </w:p>
    <w:p>
      <w:r>
        <w:t>O COORDENADOR DO SISTEMA DE TRIBUTAÇÃO, no uso de suas atribuições e tendo em vista as disposições das Leis nºs 7.713, de 22 de dezembro de 1988, 8.012, de 04 de abril de 1990, 8.134, de 28 de dezembro de 1990 e das Instruções Normativas do Diretor do Departamento da Receita Federal nºs 56, de 05 de abril de 1990 e 95, de 13 de julho de 1990.</w:t>
      </w:r>
    </w:p>
    <w:p>
      <w:r>
        <w:t>DECLARA, em caráter normativo, às Superintendências Regionais da Receita Federal e aos demais interessados que:</w:t>
      </w:r>
    </w:p>
    <w:p>
      <w:r>
        <w:t>1. O Demonstrativo da Apuração dos Ganhos de Capital de que trata o subitem 8.3 da IN RF 19/91, a ser anexado à Declaração de Rendimentos do exercício de 1991, é o do ano-base de 1989, exercício de 1990, adaptado à legislação tributária em vigor no ano-base de 1990.</w:t>
      </w:r>
    </w:p>
    <w:p>
      <w:r>
        <w:t>1.1 Na apuração do ganho de capital na alienação de bens comuns, decorrentes do regime de casamento, o limite de 10.000 BTN aplica-se em relação ao bem.</w:t>
      </w:r>
    </w:p>
    <w:p>
      <w:r>
        <w:t>2. Na apuração de ganho de capital de imóvel cuja construção tenha sido iniciada a partir de janeiro de 1989, em terreno adquirido até 31 de dezembro de 1988, o percentual de redução aplica-se apenas em relação à proporção do ganho de capital correspondente ao terreno.</w:t>
      </w:r>
    </w:p>
    <w:p>
      <w:r>
        <w:t>JOSEFA MARIA COELHO MARQUES Em exercício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Normativo CST nº 10, de 17 de abril de 1991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