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Portaria MF nº 454, de 25 de agosto de 1977</w:t>
      </w:r>
    </w:p>
    <w:p>
      <w:r>
        <w:t>"Dispõe sobre o rendimento líquido tributável classificado na cédula 'H' da declaração anual de rendimentos."</w:t>
      </w:r>
    </w:p>
    <w:p>
      <w:r>
        <w:t>O Ministro de Estado da Fazenda, no uso de suas atribuições e tendo em vista o disposto no artigo 9º do Decreto-lei nº 1.510, de 27 de dezembro de 1976,</w:t>
      </w:r>
    </w:p>
    <w:p>
      <w:r>
        <w:t>RESOLVE:</w:t>
      </w:r>
    </w:p>
    <w:p>
      <w:r>
        <w:t>1. Para os efeitos do artigo 1º do Decreto-lei nº 1.510, de 27 de dezembro de 1976, considera-se rendimento liquido tributável, classificado na cédula "H" da declaração anual de rendimentos, a diferença entre o valor bruto obtido da alienação de quaisquer participações societárias e o respectivo preço de custo reajustado.</w:t>
      </w:r>
    </w:p>
    <w:p>
      <w:r>
        <w:t>2. Para efeito de apurar a diferença de que trata este item, nas alienações a título gratuito, considera-se como valor bruto obtido pelo alienante:</w:t>
      </w:r>
    </w:p>
    <w:p>
      <w:r>
        <w:t>a) o valor real da participação, determinado pelo preço normal que poderia obter no mercado, desde que não seja inferior ao valor patrimonial da participação alienada;</w:t>
      </w:r>
    </w:p>
    <w:p>
      <w:r>
        <w:t>b) o correspondente ao da cotação média obtida no pregão imediatamente anterior, caso se trate de participação societária representada por ações normalmente negociadas em Bolsas.</w:t>
      </w:r>
    </w:p>
    <w:p>
      <w:r>
        <w:t>2.1 - Considera-se preço de custo reajustado o preço de compra, de subscrição ou de aquisição a qualquer titulo, corrigido monetariamente mediante aplicação dos índices de variação das Obrigações Reajustáveis do Tesouro Nacional, em função das datas de efetivo pagamento.</w:t>
      </w:r>
    </w:p>
    <w:p>
      <w:r>
        <w:t>3. Nas alienações de participações societárias havidas por herança o valor de custo será aquele que tiver servido de base para a partilha dos bens.</w:t>
      </w:r>
    </w:p>
    <w:p>
      <w:r>
        <w:t>3.1 - Nas alienações de participações societárias havidas por doação o valor de custo será aquele que tiver servido de base para apurar o rendimento imputado ao doador conforme item 2.</w:t>
      </w:r>
    </w:p>
    <w:p>
      <w:r>
        <w:t>3.2 - Em ambos os casos o valor de custo poderá ser corrigido monetariamente, como dispõe o item 2.1.</w:t>
      </w:r>
    </w:p>
    <w:p>
      <w:r>
        <w:t>4. No caso de opção pelo pagamento do imposto à alíquota de 25% (vinte e cinco por cento) sobre os lucros auferidos, conforme dispõe o artigo 8º do Decreto-lei nº 1.510/76, a incidência far-se-á sobre o rendimento líquido apurado conforme item 1 desta Portaria.</w:t>
      </w:r>
    </w:p>
    <w:p>
      <w:r>
        <w:t>4.1. A opção é anual e relativa a todas as operações e será exercida na declaração de rendimentos do exercício financeiro correspondente ao ano-base em que as alienações foram efetivadas.</w:t>
      </w:r>
    </w:p>
    <w:p>
      <w:r>
        <w:t>5. Face ao disposto no art. 5º do D.L. 1.510/76, presume-se que as alienações se referem às participações subscritas ou adquiridas mais recentemente e as bonificações recebidas devem ser rateadas segundo as datas e quantidades originariamente subscritas ou adquiridas, já acrescidas dos rateios de bonificações anteriores.</w:t>
      </w:r>
    </w:p>
    <w:p>
      <w:r>
        <w:t>6. O recolhimento do imposto sujeito à retenção na fonte, previsto no artigo 7º, do D.L. 1.510/76, deve ser efetivado no ato da operação, ainda quando se trate de alienação a título gratuito.</w:t>
      </w:r>
    </w:p>
    <w:p>
      <w:r>
        <w:t>7. O imposto não incide na alienação de participações societárias adquiridas há mais de cinco anos; neste caso, o alienante deve fornecer ao adquirente documento em que declare essa circunstância.</w:t>
      </w:r>
    </w:p>
    <w:p>
      <w:r>
        <w:t>7.1 - O prazo qüinqüenal citado neste item é contado segundo a definição de ano contida na Lei nº 810, de 6 de setembro de 1949.</w:t>
      </w:r>
    </w:p>
    <w:p>
      <w:r>
        <w:t>8. O Secretário da Receita Federal poderá criar formulário anexo à declaração de rendimentos, com o fim de demonstrar os resultados auferidos nas alienações, bem como baixar as demais normas que se fizerem necessárias ao cumprimento do disposto nesta Portaria e no Decreto-lei número 1.510/76.</w:t>
      </w:r>
    </w:p>
    <w:p>
      <w:r>
        <w:t>MÁRIO HENRIQUE SIMONSEN</w:t>
      </w:r>
    </w:p>
    <w:p>
      <w:r>
        <w:t>Nota Normas: Este ato foi originalmente publicado sem a ementa.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Portaria MF nº 454, de 25 de agosto de 1977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