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789BC" w14:textId="77777777" w:rsidR="00031C8F" w:rsidRDefault="00000000">
      <w:pPr>
        <w:pStyle w:val="Header"/>
        <w:snapToGrid w:val="0"/>
        <w:jc w:val="center"/>
        <w:rPr>
          <w:rFonts w:ascii="Arial" w:hAnsi="Arial" w:cs="Arial"/>
          <w:b/>
          <w:smallCaps/>
        </w:rPr>
      </w:pPr>
      <w:r>
        <w:rPr>
          <w:noProof/>
        </w:rPr>
        <w:drawing>
          <wp:inline distT="0" distB="0" distL="0" distR="0" wp14:anchorId="3BA01B7C" wp14:editId="084B271D">
            <wp:extent cx="1303020" cy="594360"/>
            <wp:effectExtent l="0" t="0" r="0" b="0"/>
            <wp:docPr id="1" name="Imagem 1" descr="Texto  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  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59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1BD900" w14:textId="77777777" w:rsidR="00031C8F" w:rsidRDefault="00000000">
      <w:pPr>
        <w:pStyle w:val="Header"/>
      </w:pPr>
      <w:r>
        <w:rPr>
          <w:rFonts w:ascii="Arial" w:hAnsi="Arial" w:cs="Arial"/>
          <w:b/>
          <w:smallCaps/>
        </w:rPr>
        <w:t>Instituto Federal de Educação, Ciência e Tecnologia de São Paulo - Catanduva</w:t>
      </w:r>
    </w:p>
    <w:p w14:paraId="0C609777" w14:textId="77777777" w:rsidR="00031C8F" w:rsidRDefault="00000000">
      <w:pPr>
        <w:pStyle w:val="Header"/>
      </w:pPr>
      <w:r>
        <w:rPr>
          <w:rFonts w:ascii="Arial" w:hAnsi="Arial" w:cs="Arial"/>
          <w:b/>
          <w:smallCaps/>
        </w:rPr>
        <w:t>curso Superior Tecnologia em análise e Desenvolvimento de Sistemas</w:t>
      </w:r>
    </w:p>
    <w:p w14:paraId="709F6820" w14:textId="45026A5B" w:rsidR="00031C8F" w:rsidRPr="00F91D12" w:rsidRDefault="00000000">
      <w:pPr>
        <w:pStyle w:val="Heading1"/>
        <w:tabs>
          <w:tab w:val="left" w:pos="0"/>
          <w:tab w:val="left" w:pos="6946"/>
        </w:tabs>
        <w:rPr>
          <w:rFonts w:ascii="Arial" w:hAnsi="Arial" w:cs="Arial"/>
          <w:b/>
          <w:bCs/>
          <w:spacing w:val="-4"/>
          <w:sz w:val="20"/>
        </w:rPr>
      </w:pPr>
      <w:r>
        <w:rPr>
          <w:rFonts w:ascii="Arial" w:hAnsi="Arial" w:cs="Arial"/>
          <w:b/>
          <w:spacing w:val="-4"/>
          <w:sz w:val="20"/>
        </w:rPr>
        <w:t xml:space="preserve">Atividade Dirigida </w:t>
      </w:r>
      <w:r>
        <w:rPr>
          <w:rFonts w:ascii="Arial" w:hAnsi="Arial" w:cs="Arial"/>
          <w:spacing w:val="-4"/>
          <w:sz w:val="20"/>
        </w:rPr>
        <w:t xml:space="preserve">de: </w:t>
      </w:r>
      <w:r>
        <w:rPr>
          <w:rFonts w:ascii="Arial" w:hAnsi="Arial" w:cs="Arial"/>
          <w:b/>
          <w:bCs/>
          <w:spacing w:val="-4"/>
          <w:sz w:val="20"/>
        </w:rPr>
        <w:t xml:space="preserve">CTDGTIN–Gestão da Tecnologia e Informação  - 2º semestre 2026</w:t>
      </w:r>
    </w:p>
    <w:p w14:paraId="2E6A80CC" w14:textId="5C752A41" w:rsidR="00031C8F" w:rsidRDefault="00000000">
      <w:pPr>
        <w:pStyle w:val="Header"/>
      </w:pPr>
      <w:r>
        <w:rPr>
          <w:rFonts w:ascii="Arial" w:hAnsi="Arial" w:cs="Arial"/>
        </w:rPr>
        <w:t xml:space="preserve">Professores: </w:t>
      </w:r>
      <w:r>
        <w:rPr>
          <w:rFonts w:ascii="Arial" w:hAnsi="Arial" w:cs="Arial"/>
          <w:b/>
          <w:bCs/>
        </w:rPr>
        <w:t xml:space="preserve">Fábio Luiz Viana e Igor Calebe Zadi</w:t>
      </w:r>
    </w:p>
    <w:p w14:paraId="7BF7F1F7" w14:textId="77777777" w:rsidR="00031C8F" w:rsidRDefault="00031C8F">
      <w:pPr>
        <w:rPr>
          <w:sz w:val="14"/>
          <w:szCs w:val="14"/>
          <w:lang w:bidi="ar-SA"/>
        </w:rPr>
      </w:pPr>
    </w:p>
    <w:p w14:paraId="720A9520" w14:textId="6F6D6BF4" w:rsidR="00031C8F" w:rsidRDefault="00F91D12">
      <w:pPr>
        <w:ind w:firstLine="851"/>
        <w:jc w:val="center"/>
        <w:rPr>
          <w:rFonts w:ascii="Arial" w:hAnsi="Arial" w:cs="Arial"/>
          <w:b/>
          <w:bCs/>
          <w:sz w:val="22"/>
          <w:szCs w:val="22"/>
          <w:lang w:bidi="ar-SA"/>
        </w:rPr>
      </w:pPr>
      <w:r>
        <w:rPr>
          <w:rFonts w:ascii="Arial" w:hAnsi="Arial" w:cs="Arial"/>
          <w:b/>
          <w:bCs/>
          <w:sz w:val="22"/>
          <w:szCs w:val="22"/>
          <w:lang w:bidi="ar-SA"/>
        </w:rPr>
        <w:t>Atividade Dirigida 02</w:t>
      </w:r>
    </w:p>
    <w:p w14:paraId="1B07EB55" w14:textId="77777777"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</w:p>
    <w:p w14:paraId="4CF1696E" w14:textId="20D45EB9" w:rsidR="00F91D12" w:rsidRDefault="00F91D12">
      <w:pPr>
        <w:ind w:firstLine="851"/>
        <w:jc w:val="both"/>
        <w:rPr>
          <w:rFonts w:ascii="Arial" w:hAnsi="Arial" w:cs="Arial"/>
          <w:b/>
          <w:bCs/>
          <w:lang w:bidi="ar-SA"/>
        </w:rPr>
      </w:pPr>
      <w:r>
        <w:rPr>
          <w:rFonts w:ascii="Arial" w:hAnsi="Arial" w:cs="Arial"/>
          <w:b/>
          <w:bCs/>
          <w:lang w:bidi="ar-SA"/>
        </w:rPr>
        <w:t xml:space="preserve">Equipe </w:t>
      </w:r>
      <w:r>
        <w:rPr>
          <w:rFonts w:ascii="Arial" w:hAnsi="Arial" w:cs="Arial"/>
          <w:sz w:val="22"/>
          <w:szCs w:val="22"/>
          <w:lang w:bidi="ar-SA"/>
        </w:rPr>
        <w:t>(Nomes dos integrantes)</w:t>
      </w:r>
      <w:r>
        <w:rPr>
          <w:rFonts w:ascii="Arial" w:hAnsi="Arial" w:cs="Arial"/>
          <w:b/>
          <w:bCs/>
          <w:lang w:bidi="ar-SA"/>
        </w:rPr>
        <w:t xml:space="preserve">:  </w:t>
      </w:r>
    </w:p>
    <w:p w14:paraId="60EC9E76" w14:textId="37998CBD" w:rsidR="00F91D12" w:rsidRDefault="00F91D12">
      <w:pPr>
        <w:ind w:firstLine="851"/>
        <w:jc w:val="both"/>
        <w:rPr>
          <w:rFonts w:ascii="Arial" w:hAnsi="Arial" w:cs="Arial"/>
          <w:lang w:bidi="ar-SA"/>
        </w:rPr>
      </w:pPr>
      <w:r>
        <w:rPr>
          <w:rFonts w:ascii="Arial" w:hAnsi="Arial" w:cs="Arial"/>
          <w:lang w:bidi="ar-SA"/>
        </w:rPr>
        <w:t>Ana Letícia (Líder)</w:t>
      </w:r>
    </w:p>
    <w:p w14:paraId="22EB0CDD" w14:textId="17422962" w:rsidR="00F91D12" w:rsidRDefault="00F91D12">
      <w:pPr>
        <w:ind w:firstLine="851"/>
        <w:jc w:val="both"/>
        <w:rPr>
          <w:rFonts w:ascii="Arial" w:hAnsi="Arial" w:cs="Arial"/>
          <w:lang w:bidi="ar-SA"/>
        </w:rPr>
      </w:pPr>
      <w:r>
        <w:rPr>
          <w:rFonts w:ascii="Arial" w:hAnsi="Arial" w:cs="Arial"/>
          <w:lang w:bidi="ar-SA"/>
        </w:rPr>
        <w:t>Danyell</w:t>
      </w:r>
    </w:p>
    <w:p w14:paraId="5D2B3BCB" w14:textId="67C81BD4" w:rsidR="00F91D12" w:rsidRDefault="00F91D12">
      <w:pPr>
        <w:ind w:firstLine="851"/>
        <w:jc w:val="both"/>
        <w:rPr>
          <w:rFonts w:ascii="Arial" w:hAnsi="Arial" w:cs="Arial"/>
          <w:lang w:bidi="ar-SA"/>
        </w:rPr>
      </w:pPr>
      <w:r>
        <w:rPr>
          <w:rFonts w:ascii="Arial" w:hAnsi="Arial" w:cs="Arial"/>
          <w:lang w:bidi="ar-SA"/>
        </w:rPr>
        <w:t>Eduardo Lemes</w:t>
      </w:r>
    </w:p>
    <w:p w14:paraId="67DB820A" w14:textId="63169186" w:rsidR="00F91D12" w:rsidRPr="00F91D12" w:rsidRDefault="00F91D12">
      <w:pPr>
        <w:ind w:firstLine="851"/>
        <w:jc w:val="both"/>
        <w:rPr>
          <w:rFonts w:ascii="Arial" w:hAnsi="Arial" w:cs="Arial"/>
          <w:lang w:bidi="ar-SA"/>
        </w:rPr>
      </w:pPr>
      <w:r>
        <w:rPr>
          <w:rFonts w:ascii="Arial" w:hAnsi="Arial" w:cs="Arial"/>
          <w:lang w:bidi="ar-SA"/>
        </w:rPr>
        <w:t>Guilherme Batista</w:t>
      </w:r>
    </w:p>
    <w:p w14:paraId="2D5B5F35" w14:textId="77777777" w:rsidR="00F91D12" w:rsidRPr="00F91D12" w:rsidRDefault="00F91D12">
      <w:pPr>
        <w:ind w:firstLine="851"/>
        <w:jc w:val="both"/>
        <w:rPr>
          <w:rFonts w:ascii="Arial" w:hAnsi="Arial" w:cs="Arial"/>
          <w:lang w:bidi="ar-SA"/>
        </w:rPr>
      </w:pPr>
    </w:p>
    <w:p w14:paraId="5D66A193" w14:textId="550A0377" w:rsidR="00031C8F" w:rsidRDefault="00000000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ascii="Arial" w:hAnsi="Arial" w:cs="Arial"/>
          <w:b/>
          <w:bCs/>
          <w:sz w:val="22"/>
          <w:szCs w:val="22"/>
          <w:lang w:bidi="ar-SA"/>
        </w:rPr>
        <w:t>Empresa escolhida:</w:t>
      </w:r>
      <w:r>
        <w:rPr>
          <w:rFonts w:ascii="Arial" w:hAnsi="Arial" w:cs="Arial"/>
          <w:sz w:val="22"/>
          <w:szCs w:val="22"/>
          <w:lang w:bidi="ar-SA"/>
        </w:rPr>
        <w:t xml:space="preserve"> Netflix</w:t>
      </w:r>
    </w:p>
    <w:p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</w:p>
    <w:p w14:paraId="19DBD55A" w14:textId="1D908956" w:rsidR="00031C8F" w:rsidRDefault="00F91D12">
      <w:pPr>
        <w:ind w:firstLine="851"/>
        <w:jc w:val="both"/>
        <w:rPr>
          <w:rFonts w:ascii="Arial" w:hAnsi="Arial" w:cs="Arial"/>
          <w:lang w:bidi="ar-SA"/>
        </w:rPr>
      </w:pPr>
      <w:r>
        <w:rPr>
          <w:rFonts w:ascii="Arial" w:hAnsi="Arial" w:cs="Arial"/>
          <w:b/>
          <w:bCs/>
          <w:lang w:bidi="ar-SA"/>
        </w:rPr>
        <w:t>Pergunta norteadora</w:t>
      </w:r>
      <w:r>
        <w:rPr>
          <w:rFonts w:ascii="Arial" w:hAnsi="Arial" w:cs="Arial"/>
          <w:lang w:bidi="ar-SA"/>
        </w:rPr>
        <w:t xml:space="preserve">: Como a TI pode impactar um negócio ou organização?  </w:t>
      </w:r>
    </w:p>
    <w:p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ascii="Arial" w:hAnsi="Arial" w:cs="Arial"/>
          <w:sz w:val="22"/>
          <w:szCs w:val="22"/>
          <w:lang w:bidi="ar-SA"/>
        </w:rPr>
        <w:t xml:space="preserve">A Netflix ilustra, de forma direta, como a Tecnologia da Informação pode ser a própria razão de existir de um negócio, e não apenas um suporte a ele. A empresa nasceu em 1997 como uma pequena locadora de DVDs pelo correio, disputando espaço com gigantes físicas como a Blockbuster, e enfrentava três desafios centrais: um catálogo cada vez mais vasto e diverso de filmes e séries; a necessidade de oferecer uma experiência personalizada para milhões de assinantes com gostos distintos; e a exigência de escalar a operação para acompanhar um crescimento explosivo de usuários e de dados, sem perder disponibilidade ou desempenho.</w:t>
      </w:r>
    </w:p>
    <w:p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ascii="Arial" w:hAnsi="Arial" w:cs="Arial"/>
          <w:sz w:val="22"/>
          <w:szCs w:val="22"/>
          <w:lang w:bidi="ar-SA"/>
        </w:rPr>
        <w:t xml:space="preserve">Foi exatamente a resposta tecnológica a esses desafios que transformou a Netflix na maior plataforma de streaming do mundo: algoritmos de recomendação por aprendizado de máquina, migração completa da infraestrutura para a nuvem (AWS), arquitetura de microsserviços, prática de Engenharia do Caos (Chaos Monkey) para garantir resiliência, e uma cultura organizacional de liberdade e responsabilidade capaz de sustentar decisões técnicas arriscadas. Em outras palavras, a TI não apenas resolveu os problemas operacionais da Netflix — ela redefiniu completamente o modelo de negócio da empresa, de locadora física para plataforma de dados e entretenimento sob demanda, hoje avaliada em centenas de bilhões de dólares e presente em mais de 190 países.</w:t>
      </w:r>
    </w:p>
    <w:p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</w:p>
    <w:p w:rsidR="00031C8F" w:rsidRDefault="00031C8F">
      <w:pPr>
        <w:ind w:firstLine="851"/>
        <w:jc w:val="both"/>
        <w:rPr>
          <w:rFonts w:ascii="Arial" w:hAnsi="Arial" w:cs="Arial"/>
          <w:b/>
          <w:bCs/>
          <w:sz w:val="22"/>
          <w:szCs w:val="22"/>
          <w:lang w:bidi="ar-SA"/>
        </w:rPr>
      </w:pPr>
      <w:r>
        <w:rPr>
          <w:rFonts w:ascii="Arial" w:hAnsi="Arial" w:cs="Arial"/>
          <w:b/>
          <w:bCs/>
          <w:sz w:val="22"/>
          <w:szCs w:val="22"/>
          <w:lang w:bidi="ar-SA"/>
        </w:rPr>
        <w:t xml:space="preserve">Tópicos para Discussão</w:t>
      </w:r>
    </w:p>
    <w:p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</w:p>
    <w:p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ascii="Arial" w:hAnsi="Arial" w:cs="Arial"/>
          <w:b/>
          <w:bCs/>
          <w:sz w:val="22"/>
          <w:szCs w:val="22"/>
          <w:lang w:bidi="ar-SA"/>
        </w:rPr>
        <w:t xml:space="preserve">1) Desafios técnicos: quais foram os principais desafios técnicos enfrentados pela Netflix? </w:t>
      </w:r>
      <w:r>
        <w:rPr>
          <w:rFonts w:ascii="Arial" w:hAnsi="Arial" w:cs="Arial"/>
          <w:sz w:val="22"/>
          <w:szCs w:val="22"/>
          <w:lang w:bidi="ar-SA"/>
        </w:rPr>
        <w:t xml:space="preserve"/>
      </w:r>
    </w:p>
    <w:p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ascii="Arial" w:hAnsi="Arial" w:cs="Arial"/>
          <w:sz w:val="22"/>
          <w:szCs w:val="22"/>
          <w:lang w:bidi="ar-SA"/>
        </w:rPr>
        <w:t xml:space="preserve">O primeiro grande desafio técnico da Netflix foi de infraestrutura: em 2008, uma falha em um banco de dados interno interrompeu por três dias o envio de DVDs, expondo o risco de manter data centers próprios para sustentar o crescimento da empresa. Isso levou a um segundo desafio, ainda maior: migrar toda a aplicação para a nuvem pública da AWS entre 2008 e 2016, o que exigiu reescrever o sistema inteiro, transformando-o de uma arquitetura monolítica em uma arquitetura de microsserviços — centenas de serviços pequenos e independentes que se comunicam por API, permitindo atualizar ou escalar uma parte do sistema sem derrubar a plataforma inteira.</w:t>
      </w:r>
    </w:p>
    <w:p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ascii="Arial" w:hAnsi="Arial" w:cs="Arial"/>
          <w:sz w:val="22"/>
          <w:szCs w:val="22"/>
          <w:lang w:bidi="ar-SA"/>
        </w:rPr>
        <w:t xml:space="preserve">Um terceiro desafio foi garantir resiliência em uma escala sem precedentes: para validar se o sistema realmente suportaria falhas reais na nuvem, a Netflix criou o Chaos Monkey (2010), ferramenta que desliga aleatoriamente instâncias de servidores em produção, dando origem à prática hoje conhecida como Engenharia do Caos. Por fim, havia o desafio de personalização em escala: analisar o comportamento de centenas de milhões de usuários simultâneos e gerar recomendações relevantes para cada perfil em tempo real, problema que a empresa endereçou por meio do Netflix Prize (2006–2009) e da evolução contínua de seus algoritmos de recomendação, hoje responsáveis por mais de 80% do conteúdo assistido na plataforma.</w:t>
      </w:r>
    </w:p>
    <w:p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ascii="Arial" w:hAnsi="Arial" w:cs="Arial"/>
          <w:b/>
          <w:bCs/>
          <w:sz w:val="22"/>
          <w:szCs w:val="22"/>
          <w:lang w:bidi="ar-SA"/>
        </w:rPr>
        <w:t xml:space="preserve">2) Impacto na cultura organizacional: como a cultura da Netflix se adaptou para suportar essa transformação digital? </w:t>
      </w:r>
      <w:r>
        <w:rPr>
          <w:rFonts w:ascii="Arial" w:hAnsi="Arial" w:cs="Arial"/>
          <w:sz w:val="22"/>
          <w:szCs w:val="22"/>
          <w:lang w:bidi="ar-SA"/>
        </w:rPr>
        <w:t xml:space="preserve"/>
      </w:r>
    </w:p>
    <w:p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ascii="Arial" w:hAnsi="Arial" w:cs="Arial"/>
          <w:sz w:val="22"/>
          <w:szCs w:val="22"/>
          <w:lang w:bidi="ar-SA"/>
        </w:rPr>
        <w:t xml:space="preserve">A transformação técnica da Netflix não teria sido possível sem uma mudança profunda em sua cultura organizacional. Em 2009, a então diretora de talentos Patty McCord, ao lado de Reed Hastings, publicou o documento "Netflix Culture: Freedom &amp; Responsibility", que rompeu com práticas tradicionais de gestão (avaliações de desempenho rígidas, políticas extensas de aprovação, hierarquia burocrática) em favor de um modelo baseado em liberdade e responsabilidade: contratar profissionais experientes, tratá-los como adultos, dar contexto claro sobre os desafios do negócio e confiar que tomarão boas decisões.</w:t>
      </w:r>
    </w:p>
    <w:p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ascii="Arial" w:hAnsi="Arial" w:cs="Arial"/>
          <w:sz w:val="22"/>
          <w:szCs w:val="22"/>
          <w:lang w:bidi="ar-SA"/>
        </w:rPr>
        <w:t xml:space="preserve">Esse modelo cultural foi essencial para permitir que as equipes de engenharia tomassem decisões arriscadas e de alto impacto sem depender de aprovações hierárquicas demoradas — como migrar toda a infraestrutura para a nuvem, ou aceitar voluntariamente desligar servidores em produção por meio do Chaos Monkey. Em uma cultura mais tradicional e avessa a risco, dificilmente uma equipe teria autonomia para propor uma ferramenta que causa falhas de propósito no ambiente real da empresa. A cultura de liberdade e responsabilidade, portanto, não foi apenas um diferencial de RH, mas uma condição estrutural para a própria transformação tecnológica da companhia.</w:t>
      </w:r>
    </w:p>
    <w:p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ascii="Arial" w:hAnsi="Arial" w:cs="Arial"/>
          <w:b/>
          <w:bCs/>
          <w:sz w:val="22"/>
          <w:szCs w:val="22"/>
          <w:lang w:bidi="ar-SA"/>
        </w:rPr>
        <w:t xml:space="preserve">3) Aplicabilidade em outros setores: como as lições aprendidas pela Netflix podem ser aplicadas em outros setores? </w:t>
      </w:r>
      <w:r>
        <w:rPr>
          <w:rFonts w:ascii="Arial" w:hAnsi="Arial" w:cs="Arial"/>
          <w:sz w:val="22"/>
          <w:szCs w:val="22"/>
          <w:lang w:bidi="ar-SA"/>
        </w:rPr>
        <w:t xml:space="preserve"/>
      </w:r>
    </w:p>
    <w:p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ascii="Arial" w:hAnsi="Arial" w:cs="Arial"/>
          <w:sz w:val="22"/>
          <w:szCs w:val="22"/>
          <w:lang w:bidi="ar-SA"/>
        </w:rPr>
        <w:t xml:space="preserve">A lógica de personalização em escala, construída pela Netflix por meio de algoritmos de recomendação, já é replicada em setores como varejo (recomendação de produtos), bancos (ofertas personalizadas de crédito) e educação (trilhas de aprendizagem adaptativas) — qualquer negócio que lide com grande volume de usuários e dados comportamentais pode se inspirar nesse modelo para aumentar engajamento e reduzir a perda de clientes (churn).</w:t>
      </w:r>
    </w:p>
    <w:p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ascii="Arial" w:hAnsi="Arial" w:cs="Arial"/>
          <w:sz w:val="22"/>
          <w:szCs w:val="22"/>
          <w:lang w:bidi="ar-SA"/>
        </w:rPr>
        <w:t xml:space="preserve">A prática de Engenharia do Caos, originada na Netflix, também se popularizou como padrão de mercado e hoje é adotada por instituições financeiras, empresas de e-commerce e provedores de nuvem que dependem de alta disponibilidade — o princípio de testar falhas de propósito, antes que aconteçam de forma real e descontrolada, é aplicável a qualquer setor cuja operação dependa criticamente de sistemas digitais, incluindo hospitais, companhias aéreas e infraestrutura de telecomunicações.</w:t>
      </w:r>
    </w:p>
    <w:p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ascii="Arial" w:hAnsi="Arial" w:cs="Arial"/>
          <w:sz w:val="22"/>
          <w:szCs w:val="22"/>
          <w:lang w:bidi="ar-SA"/>
        </w:rPr>
        <w:t xml:space="preserve">Por fim, a lição cultural da Netflix — dar contexto e autonomia às equipes em vez de controlar por meio de processos rígidos — é aplicável a qualquer organização que dependa de decisões técnicas rápidas em ambientes de alta incerteza, como startups de tecnologia, equipes de produto e áreas de inovação dentro de empresas tradicionais, incluindo o próprio setor industrial, como observado no estudo de caso anterior sobre a Ambev.</w:t>
      </w:r>
    </w:p>
    <w:p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</w:p>
    <w:p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</w:p>
    <w:p w14:paraId="5DEB0353" w14:textId="18F6AF18" w:rsidR="00031C8F" w:rsidRDefault="00000000">
      <w:pPr>
        <w:ind w:firstLine="851"/>
        <w:jc w:val="both"/>
        <w:rPr>
          <w:rFonts w:ascii="Arial" w:hAnsi="Arial" w:cs="Arial"/>
          <w:b/>
          <w:bCs/>
          <w:sz w:val="22"/>
          <w:szCs w:val="22"/>
          <w:lang w:bidi="ar-SA"/>
        </w:rPr>
      </w:pPr>
      <w:r>
        <w:rPr>
          <w:rFonts w:ascii="Arial" w:hAnsi="Arial" w:cs="Arial"/>
          <w:b/>
          <w:bCs/>
          <w:sz w:val="22"/>
          <w:szCs w:val="22"/>
          <w:lang w:bidi="ar-SA"/>
        </w:rPr>
        <w:t xml:space="preserve">Referências Consultadas:</w:t>
      </w:r>
    </w:p>
    <w:p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ascii="Arial" w:hAnsi="Arial" w:cs="Arial"/>
          <w:sz w:val="22"/>
          <w:szCs w:val="22"/>
          <w:lang w:bidi="ar-SA"/>
        </w:rPr>
        <w:t xml:space="preserve">- SHOWMETECH. A história da Netflix: da fundação até os dias de hoje. Disponível em: showmetech.com.br.</w:t>
      </w:r>
    </w:p>
    <w:p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ascii="Arial" w:hAnsi="Arial" w:cs="Arial"/>
          <w:sz w:val="22"/>
          <w:szCs w:val="22"/>
          <w:lang w:bidi="ar-SA"/>
        </w:rPr>
        <w:t xml:space="preserve">- FM2S. A história da Netflix: inovação e mudança de mercado. Disponível em: fm2s.com.br.</w:t>
      </w:r>
    </w:p>
    <w:p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ascii="Arial" w:hAnsi="Arial" w:cs="Arial"/>
          <w:sz w:val="22"/>
          <w:szCs w:val="22"/>
          <w:lang w:bidi="ar-SA"/>
        </w:rPr>
        <w:t xml:space="preserve">- NETFLIX TECHBLOG. The Netflix Simian Army. Disponível em: netflixtechblog.com.</w:t>
      </w:r>
    </w:p>
    <w:p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ascii="Arial" w:hAnsi="Arial" w:cs="Arial"/>
          <w:sz w:val="22"/>
          <w:szCs w:val="22"/>
          <w:lang w:bidi="ar-SA"/>
        </w:rPr>
        <w:t xml:space="preserve">- GREMLIN. Chaos Monkey at Netflix: the Origin of Chaos Engineering. Disponível em: gremlin.com.</w:t>
      </w:r>
    </w:p>
    <w:p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ascii="Arial" w:hAnsi="Arial" w:cs="Arial"/>
          <w:sz w:val="22"/>
          <w:szCs w:val="22"/>
          <w:lang w:bidi="ar-SA"/>
        </w:rPr>
        <w:t xml:space="preserve">- USUARIOPERU. La Arquitectura de Netflix: Cómo Escala a 300 Millones de Usuarios. Disponível em: usuarioperu.com.</w:t>
      </w:r>
    </w:p>
    <w:p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ascii="Arial" w:hAnsi="Arial" w:cs="Arial"/>
          <w:sz w:val="22"/>
          <w:szCs w:val="22"/>
          <w:lang w:bidi="ar-SA"/>
        </w:rPr>
        <w:t xml:space="preserve">- ANHEMBI SOROCABA. Como a Netflix usa Inteligência Artificial. Disponível em: anhembisorocaba.com.br.</w:t>
      </w:r>
    </w:p>
    <w:p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ascii="Arial" w:hAnsi="Arial" w:cs="Arial"/>
          <w:sz w:val="22"/>
          <w:szCs w:val="22"/>
          <w:lang w:bidi="ar-SA"/>
        </w:rPr>
        <w:t xml:space="preserve">- RESUMOCAST. Netflix Powerful — Resumo do livro de Patty McCord. Disponível em: blog.resumocast.com.br.</w:t>
      </w:r>
    </w:p>
    <w:p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ascii="Arial" w:hAnsi="Arial" w:cs="Arial"/>
          <w:sz w:val="22"/>
          <w:szCs w:val="22"/>
          <w:lang w:bidi="ar-SA"/>
        </w:rPr>
        <w:t xml:space="preserve">- BLOOMBERG LÍNEA. Netflix tem recorde de novos assinantes com impulso de boxe, NFL e Round 6. Disponível em: bloomberglinea.com.br.</w:t>
      </w:r>
    </w:p>
    <w:p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ascii="Arial" w:hAnsi="Arial" w:cs="Arial"/>
          <w:sz w:val="22"/>
          <w:szCs w:val="22"/>
          <w:lang w:bidi="ar-SA"/>
        </w:rPr>
        <w:t xml:space="preserve">- CTDGTIN_MODELO_Atividade_Dirigida_02. Estudo de Caso: Netflix - Personalização e Escalabilidade (material da disciplina).</w:t>
      </w:r>
    </w:p>
    <w:p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</w:p>
    <w:p w:rsidR="00031C8F" w:rsidRDefault="00031C8F">
      <w:pPr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</w:p>
    <w:sectPr w:rsidR="00031C8F">
      <w:footerReference w:type="even" r:id="rId12"/>
      <w:footerReference w:type="default" r:id="rId13"/>
      <w:footerReference w:type="first" r:id="rId14"/>
      <w:pgSz w:w="11906" w:h="16838"/>
      <w:pgMar w:top="907" w:right="1134" w:bottom="1134" w:left="1134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E6C78" w14:textId="77777777" w:rsidR="00BF004A" w:rsidRDefault="00BF004A">
      <w:r>
        <w:separator/>
      </w:r>
    </w:p>
  </w:endnote>
  <w:endnote w:type="continuationSeparator" w:id="0">
    <w:p w14:paraId="303BEFCC" w14:textId="77777777" w:rsidR="00BF004A" w:rsidRDefault="00BF0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taneo BT">
    <w:charset w:val="00"/>
    <w:family w:val="roman"/>
    <w:pitch w:val="variable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Mono">
    <w:altName w:val="Courier New"/>
    <w:charset w:val="00"/>
    <w:family w:val="modern"/>
    <w:pitch w:val="fixed"/>
    <w:sig w:usb0="E0000AFF" w:usb1="400078FF" w:usb2="00000001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C7414" w14:textId="77777777" w:rsidR="00031C8F" w:rsidRDefault="00031C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34476815"/>
      <w:docPartObj>
        <w:docPartGallery w:val="Page Numbers (Bottom of Page)"/>
        <w:docPartUnique/>
      </w:docPartObj>
    </w:sdtPr>
    <w:sdtContent>
      <w:p w14:paraId="62C23C89" w14:textId="77777777" w:rsidR="00031C8F" w:rsidRDefault="00000000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50994FC6" w14:textId="77777777" w:rsidR="00031C8F" w:rsidRDefault="00031C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9685011"/>
      <w:docPartObj>
        <w:docPartGallery w:val="Page Numbers (Bottom of Page)"/>
        <w:docPartUnique/>
      </w:docPartObj>
    </w:sdtPr>
    <w:sdtContent>
      <w:p w14:paraId="35962680" w14:textId="77777777" w:rsidR="00031C8F" w:rsidRDefault="00000000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5C4FDC1B" w14:textId="77777777" w:rsidR="00031C8F" w:rsidRDefault="00031C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663E7" w14:textId="77777777" w:rsidR="00BF004A" w:rsidRDefault="00BF004A">
      <w:r>
        <w:separator/>
      </w:r>
    </w:p>
  </w:footnote>
  <w:footnote w:type="continuationSeparator" w:id="0">
    <w:p w14:paraId="61A9F3DB" w14:textId="77777777" w:rsidR="00BF004A" w:rsidRDefault="00BF0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42A74"/>
    <w:multiLevelType w:val="multilevel"/>
    <w:tmpl w:val="6118670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CC07D34"/>
    <w:multiLevelType w:val="multilevel"/>
    <w:tmpl w:val="F8A80FE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2C7277B"/>
    <w:multiLevelType w:val="hybridMultilevel"/>
    <w:tmpl w:val="D0A025AA"/>
    <w:lvl w:ilvl="0" w:tplc="D222E3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884321900">
    <w:abstractNumId w:val="0"/>
  </w:num>
  <w:num w:numId="2" w16cid:durableId="1049915947">
    <w:abstractNumId w:val="1"/>
  </w:num>
  <w:num w:numId="3" w16cid:durableId="70203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C8F"/>
    <w:rsid w:val="00031C8F"/>
    <w:rsid w:val="00063787"/>
    <w:rsid w:val="000B7BD3"/>
    <w:rsid w:val="006B557F"/>
    <w:rsid w:val="0070327A"/>
    <w:rsid w:val="00BF004A"/>
    <w:rsid w:val="00DD0122"/>
    <w:rsid w:val="00F9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5D3E1"/>
  <w15:docId w15:val="{558ACA2C-9A9E-4A54-B055-A2EEF955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Mangal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83642"/>
    <w:pPr>
      <w:keepNext/>
      <w:numPr>
        <w:numId w:val="1"/>
      </w:numPr>
      <w:outlineLvl w:val="0"/>
    </w:pPr>
    <w:rPr>
      <w:rFonts w:ascii="Cataneo BT" w:eastAsia="Times New Roman" w:hAnsi="Cataneo BT" w:cs="Cataneo BT"/>
      <w:kern w:val="0"/>
      <w:sz w:val="32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283642"/>
    <w:rPr>
      <w:rFonts w:ascii="Cataneo BT" w:eastAsia="Times New Roman" w:hAnsi="Cataneo BT" w:cs="Cataneo BT"/>
      <w:kern w:val="0"/>
      <w:sz w:val="32"/>
      <w:szCs w:val="20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83642"/>
    <w:rPr>
      <w:rFonts w:ascii="Times New Roman" w:eastAsia="Times New Roman" w:hAnsi="Times New Roman" w:cs="Times New Roman"/>
      <w:kern w:val="0"/>
      <w:sz w:val="20"/>
      <w:szCs w:val="20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B845A6"/>
    <w:rPr>
      <w:szCs w:val="21"/>
    </w:rPr>
  </w:style>
  <w:style w:type="paragraph" w:styleId="Title">
    <w:name w:val="Title"/>
    <w:basedOn w:val="Normal"/>
    <w:next w:val="BodyText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</w:style>
  <w:style w:type="paragraph" w:customStyle="1" w:styleId="Contedodatabelauser">
    <w:name w:val="Conteúdo da tabela (user)"/>
    <w:basedOn w:val="Normal"/>
    <w:qFormat/>
    <w:pPr>
      <w:widowControl w:val="0"/>
      <w:suppressLineNumbers/>
    </w:pPr>
  </w:style>
  <w:style w:type="paragraph" w:customStyle="1" w:styleId="Ttulodetabelauser">
    <w:name w:val="Título de tabela (user)"/>
    <w:basedOn w:val="Contedodatabelauser"/>
    <w:qFormat/>
    <w:pPr>
      <w:jc w:val="center"/>
    </w:pPr>
    <w:rPr>
      <w:b/>
      <w:bCs/>
    </w:rPr>
  </w:style>
  <w:style w:type="paragraph" w:customStyle="1" w:styleId="Textoprformatadouser">
    <w:name w:val="Texto préformatado (user)"/>
    <w:basedOn w:val="Normal"/>
    <w:qFormat/>
    <w:rPr>
      <w:rFonts w:ascii="Liberation Mono" w:hAnsi="Liberation Mono" w:cs="Liberation Mono"/>
      <w:sz w:val="20"/>
      <w:szCs w:val="20"/>
    </w:rPr>
  </w:style>
  <w:style w:type="paragraph" w:customStyle="1" w:styleId="Cabealhoerodapuser">
    <w:name w:val="Cabeçalho e rodapé (user)"/>
    <w:basedOn w:val="Normal"/>
    <w:qFormat/>
  </w:style>
  <w:style w:type="paragraph" w:customStyle="1" w:styleId="Cabealhoerodap">
    <w:name w:val="Cabeçalho e rodapé"/>
    <w:basedOn w:val="Normal"/>
    <w:qFormat/>
  </w:style>
  <w:style w:type="paragraph" w:styleId="Header">
    <w:name w:val="header"/>
    <w:basedOn w:val="Normal"/>
    <w:link w:val="HeaderChar"/>
    <w:uiPriority w:val="99"/>
    <w:rsid w:val="00283642"/>
    <w:pPr>
      <w:tabs>
        <w:tab w:val="center" w:pos="4320"/>
        <w:tab w:val="right" w:pos="8640"/>
      </w:tabs>
    </w:pPr>
    <w:rPr>
      <w:rFonts w:ascii="Times New Roman" w:eastAsia="Times New Roman" w:hAnsi="Times New Roman" w:cs="Times New Roman"/>
      <w:kern w:val="0"/>
      <w:sz w:val="20"/>
      <w:szCs w:val="20"/>
      <w:lang w:bidi="ar-SA"/>
    </w:rPr>
  </w:style>
  <w:style w:type="paragraph" w:styleId="ListParagraph">
    <w:name w:val="List Paragraph"/>
    <w:basedOn w:val="Normal"/>
    <w:uiPriority w:val="34"/>
    <w:qFormat/>
    <w:rsid w:val="003B6F2C"/>
    <w:pPr>
      <w:suppressAutoHyphens w:val="0"/>
      <w:ind w:left="708"/>
    </w:pPr>
    <w:rPr>
      <w:rFonts w:ascii="Times New Roman" w:eastAsia="Times New Roman" w:hAnsi="Times New Roman" w:cs="Times New Roman"/>
      <w:kern w:val="0"/>
      <w:lang w:eastAsia="pt-BR" w:bidi="ar-SA"/>
    </w:rPr>
  </w:style>
  <w:style w:type="paragraph" w:customStyle="1" w:styleId="Recuodecorpodetexto21">
    <w:name w:val="Recuo de corpo de texto 21"/>
    <w:basedOn w:val="Normal"/>
    <w:qFormat/>
    <w:rsid w:val="009628CE"/>
    <w:pPr>
      <w:ind w:left="708"/>
      <w:jc w:val="both"/>
    </w:pPr>
    <w:rPr>
      <w:rFonts w:ascii="Times New Roman" w:eastAsia="Times New Roman" w:hAnsi="Times New Roman" w:cs="Times New Roman"/>
      <w:kern w:val="0"/>
      <w:sz w:val="28"/>
      <w:szCs w:val="20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B845A6"/>
    <w:pPr>
      <w:tabs>
        <w:tab w:val="center" w:pos="4252"/>
        <w:tab w:val="right" w:pos="8504"/>
      </w:tabs>
    </w:pPr>
    <w:rPr>
      <w:szCs w:val="21"/>
    </w:rPr>
  </w:style>
  <w:style w:type="numbering" w:customStyle="1" w:styleId="Semlistauser">
    <w:name w:val="Sem lista (user)"/>
    <w:uiPriority w:val="99"/>
    <w:semiHidden/>
    <w:unhideWhenUsed/>
    <w:qFormat/>
  </w:style>
  <w:style w:type="table" w:styleId="GridTable2">
    <w:name w:val="Grid Table 2"/>
    <w:basedOn w:val="TableNormal"/>
    <w:uiPriority w:val="47"/>
    <w:rsid w:val="003B6F2C"/>
    <w:rPr>
      <w:rFonts w:asciiTheme="minorHAnsi" w:eastAsiaTheme="minorHAnsi" w:hAnsiTheme="minorHAnsi" w:cstheme="minorBidi"/>
      <w:sz w:val="22"/>
      <w:szCs w:val="22"/>
      <w:lang w:val="en-US" w:eastAsia="en-US" w:bidi="ar-SA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94E19AD546B4F4688447E6B6326AA29" ma:contentTypeVersion="4" ma:contentTypeDescription="Crie um novo documento." ma:contentTypeScope="" ma:versionID="c6bc547976577985e78139871a709d99">
  <xsd:schema xmlns:xsd="http://www.w3.org/2001/XMLSchema" xmlns:xs="http://www.w3.org/2001/XMLSchema" xmlns:p="http://schemas.microsoft.com/office/2006/metadata/properties" xmlns:ns2="3d9cbe5d-6b51-4ecf-af48-48ba61e918b0" targetNamespace="http://schemas.microsoft.com/office/2006/metadata/properties" ma:root="true" ma:fieldsID="792fe59cf7120bfc942aa53c1b6fc804" ns2:_="">
    <xsd:import namespace="3d9cbe5d-6b51-4ecf-af48-48ba61e918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9cbe5d-6b51-4ecf-af48-48ba61e91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9E69E2-C5D5-483A-B332-75597611EA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EE61A4-FEC1-4B38-8A7B-67153671E6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B8DD00D-4716-4319-B2C2-1CDD462DE0E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27ED1F-20A4-4C37-9057-C43A69A9F0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9cbe5d-6b51-4ecf-af48-48ba61e91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Luiz Viana</dc:creator>
  <dc:description/>
  <cp:lastModifiedBy>Fábio Luiz Viana</cp:lastModifiedBy>
  <cp:revision>15</cp:revision>
  <cp:lastPrinted>2022-09-20T22:33:00Z</cp:lastPrinted>
  <dcterms:created xsi:type="dcterms:W3CDTF">2024-12-09T23:16:00Z</dcterms:created>
  <dcterms:modified xsi:type="dcterms:W3CDTF">2026-09-02T21:57:00Z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0x010100894E19AD546B4F4688447E6B6326AA29</vt:lpwstr>
  </property>
</Properties>
</file>